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Normal"/>
        <w:rPr/>
      </w:pPr>
      <w:r>
        <w:rPr/>
      </w:r>
    </w:p>
    <w:p>
      <w:pPr>
        <w:pStyle w:val="Normal"/>
        <w:rPr/>
      </w:pPr>
      <w:r>
        <w:rPr/>
      </w:r>
    </w:p>
    <w:p>
      <w:pPr>
        <w:pStyle w:val="Normal"/>
        <w:rPr/>
      </w:pPr>
      <w:r>
        <w:rPr/>
      </w:r>
      <w:bookmarkStart w:id="0" w:name="_GoBack"/>
      <w:bookmarkStart w:id="1" w:name="_GoBack"/>
      <w:bookmarkEnd w:id="1"/>
    </w:p>
    <w:p>
      <w:pPr>
        <w:pStyle w:val="Normal"/>
        <w:rPr/>
      </w:pPr>
      <w:r>
        <w:rPr/>
      </w:r>
    </w:p>
    <w:p>
      <w:pPr>
        <w:pStyle w:val="Normal"/>
        <w:rPr/>
      </w:pPr>
      <w:r>
        <w:rPr/>
      </w:r>
    </w:p>
    <w:p>
      <w:pPr>
        <w:pStyle w:val="Standard"/>
        <w:jc w:val="center"/>
        <w:rPr>
          <w:rFonts w:ascii="Arial Unicode MS" w:hAnsi="Arial Unicode MS" w:eastAsia="Arial Unicode MS" w:cs="Arial Unicode MS"/>
          <w:b/>
          <w:b/>
          <w:sz w:val="44"/>
          <w:szCs w:val="22"/>
          <w:lang w:bidi="ar-SA"/>
        </w:rPr>
      </w:pPr>
      <w:r>
        <w:rPr>
          <w:rFonts w:eastAsia="Arial Unicode MS" w:cs="Arial Unicode MS" w:ascii="Arial Unicode MS" w:hAnsi="Arial Unicode MS"/>
          <w:b/>
          <w:sz w:val="44"/>
          <w:szCs w:val="22"/>
          <w:lang w:bidi="ar-SA"/>
        </w:rPr>
        <w:t>ANEXO XIV.1</w:t>
      </w:r>
    </w:p>
    <w:p>
      <w:pPr>
        <w:pStyle w:val="Standard"/>
        <w:jc w:val="center"/>
        <w:rPr>
          <w:rFonts w:ascii="Arial Unicode MS" w:hAnsi="Arial Unicode MS" w:eastAsia="Arial Unicode MS" w:cs="Arial Unicode MS"/>
          <w:b/>
          <w:b/>
          <w:sz w:val="44"/>
          <w:szCs w:val="22"/>
          <w:lang w:bidi="ar-SA"/>
        </w:rPr>
      </w:pPr>
      <w:r>
        <w:rPr>
          <w:rFonts w:eastAsia="Arial Unicode MS" w:cs="Arial Unicode MS" w:ascii="Arial Unicode MS" w:hAnsi="Arial Unicode MS"/>
          <w:b/>
          <w:sz w:val="44"/>
          <w:szCs w:val="22"/>
          <w:lang w:bidi="ar-SA"/>
        </w:rPr>
      </w:r>
    </w:p>
    <w:p>
      <w:pPr>
        <w:pStyle w:val="Standard"/>
        <w:jc w:val="center"/>
        <w:rPr>
          <w:rFonts w:ascii="Arial Unicode MS" w:hAnsi="Arial Unicode MS" w:eastAsia="Arial Unicode MS" w:cs="Arial Unicode MS"/>
          <w:b/>
          <w:b/>
          <w:sz w:val="44"/>
          <w:szCs w:val="22"/>
          <w:lang w:bidi="ar-SA"/>
        </w:rPr>
      </w:pPr>
      <w:r>
        <w:rPr>
          <w:rFonts w:eastAsia="Arial Unicode MS" w:cs="Arial Unicode MS" w:ascii="Arial Unicode MS" w:hAnsi="Arial Unicode MS"/>
          <w:b/>
          <w:sz w:val="44"/>
          <w:szCs w:val="22"/>
          <w:lang w:bidi="ar-SA"/>
        </w:rPr>
        <w:t>TERMO DE REFERÊNCIA - EDIFICAÇÕES</w:t>
      </w:r>
    </w:p>
    <w:p>
      <w:pPr>
        <w:pStyle w:val="Standard"/>
        <w:jc w:val="center"/>
        <w:rPr>
          <w:rFonts w:ascii="Arial Unicode MS" w:hAnsi="Arial Unicode MS" w:eastAsia="Arial Unicode MS" w:cs="Arial Unicode MS"/>
          <w:b/>
          <w:b/>
          <w:sz w:val="36"/>
          <w:szCs w:val="36"/>
          <w:lang w:bidi="ar-SA"/>
        </w:rPr>
      </w:pPr>
      <w:r>
        <w:rPr>
          <w:rFonts w:eastAsia="Arial Unicode MS" w:cs="Arial Unicode MS" w:ascii="Arial Unicode MS" w:hAnsi="Arial Unicode MS"/>
          <w:b/>
          <w:sz w:val="36"/>
          <w:szCs w:val="36"/>
          <w:lang w:bidi="ar-SA"/>
        </w:rPr>
        <w:t>Contratação de Obras e Serviços de Engenharia</w:t>
      </w:r>
    </w:p>
    <w:p>
      <w:pPr>
        <w:pStyle w:val="Normal"/>
        <w:jc w:val="center"/>
        <w:rPr>
          <w:rFonts w:ascii="Arial Unicode MS" w:hAnsi="Arial Unicode MS" w:eastAsia="Arial Unicode MS" w:cs="Arial Unicode MS"/>
          <w:b/>
          <w:b/>
          <w:bCs/>
          <w:color w:val="auto"/>
          <w:kern w:val="2"/>
          <w:sz w:val="36"/>
          <w:szCs w:val="36"/>
          <w:lang w:val="pt-BR" w:eastAsia="zh-CN" w:bidi="ar-SA"/>
        </w:rPr>
      </w:pPr>
      <w:r>
        <w:rPr>
          <w:rFonts w:eastAsia="Arial Unicode MS" w:cs="Arial Unicode MS" w:ascii="Arial Unicode MS" w:hAnsi="Arial Unicode MS"/>
          <w:b/>
          <w:bCs/>
          <w:color w:val="auto"/>
          <w:kern w:val="2"/>
          <w:sz w:val="36"/>
          <w:szCs w:val="36"/>
          <w:lang w:val="pt-BR" w:eastAsia="zh-CN" w:bidi="ar-SA"/>
        </w:rPr>
        <w:t xml:space="preserve">INSTALAÇÃO ELÉTRICA PARA BLASTFREEZER E MULTIMEDIDOR HEMEPAR CURITIBA/PR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Standard"/>
        <w:spacing w:before="280" w:after="280"/>
        <w:rPr/>
      </w:pPr>
      <w:r>
        <w:rPr>
          <w:rFonts w:eastAsia="Arial Unicode MS"/>
          <w:b/>
          <w:sz w:val="24"/>
          <w:szCs w:val="24"/>
          <w:lang w:bidi="ar-SA"/>
        </w:rPr>
        <w:t xml:space="preserve">PROTOCOLO: </w:t>
      </w:r>
    </w:p>
    <w:p>
      <w:pPr>
        <w:pStyle w:val="Standard"/>
        <w:spacing w:before="280" w:after="280"/>
        <w:rPr>
          <w:rFonts w:eastAsia="Arial Unicode MS"/>
          <w:b/>
          <w:b/>
          <w:sz w:val="24"/>
          <w:szCs w:val="24"/>
          <w:lang w:bidi="ar-SA"/>
        </w:rPr>
      </w:pPr>
      <w:r>
        <w:rPr>
          <w:rFonts w:eastAsia="Arial Unicode MS"/>
          <w:b/>
          <w:sz w:val="24"/>
          <w:szCs w:val="24"/>
          <w:lang w:bidi="ar-SA"/>
        </w:rPr>
        <w:t>ÓRGÃO: Secretaria do Estado de Saúde - SESA</w:t>
      </w:r>
    </w:p>
    <w:p>
      <w:pPr>
        <w:pStyle w:val="Standard"/>
        <w:spacing w:before="280" w:after="280"/>
        <w:rPr/>
      </w:pPr>
      <w:r>
        <w:rPr>
          <w:rFonts w:eastAsia="Arial Unicode MS"/>
          <w:b/>
          <w:sz w:val="24"/>
          <w:szCs w:val="24"/>
          <w:lang w:bidi="ar-SA"/>
        </w:rPr>
        <w:t xml:space="preserve">OBJETO: </w:t>
      </w:r>
      <w:r>
        <w:rPr>
          <w:rFonts w:eastAsia="Arial MT"/>
          <w:b/>
          <w:sz w:val="24"/>
          <w:szCs w:val="24"/>
          <w:lang w:bidi="ar-SA"/>
        </w:rPr>
        <w:t>Constitui objeto da presente contratação a execução de obra de engenharia de instalação elétrica de pontos de tomada, quadro de distribuição e medidor conforme Termo de Referência,</w:t>
      </w:r>
    </w:p>
    <w:p>
      <w:pPr>
        <w:pStyle w:val="Standard"/>
        <w:spacing w:before="280" w:after="280"/>
        <w:rPr>
          <w:rFonts w:eastAsia="Arial Unicode MS"/>
          <w:b/>
          <w:b/>
          <w:sz w:val="24"/>
          <w:szCs w:val="24"/>
          <w:lang w:bidi="ar-SA"/>
        </w:rPr>
      </w:pPr>
      <w:r>
        <w:rPr>
          <w:rFonts w:eastAsia="Arial Unicode MS"/>
          <w:b/>
          <w:sz w:val="24"/>
          <w:szCs w:val="24"/>
          <w:lang w:bidi="ar-SA"/>
        </w:rPr>
        <w:t xml:space="preserve">LOCAL: </w:t>
      </w:r>
      <w:r>
        <w:rPr>
          <w:rFonts w:eastAsia="Arial Unicode MS" w:cs="Arial"/>
          <w:b/>
          <w:color w:val="auto"/>
          <w:kern w:val="2"/>
          <w:sz w:val="24"/>
          <w:szCs w:val="24"/>
          <w:lang w:val="pt-BR" w:eastAsia="zh-CN" w:bidi="ar-SA"/>
        </w:rPr>
        <w:t xml:space="preserve">Curitiba – PR </w:t>
      </w:r>
    </w:p>
    <w:p>
      <w:pPr>
        <w:pStyle w:val="Standard"/>
        <w:spacing w:before="280" w:after="280"/>
        <w:rPr/>
      </w:pPr>
      <w:r>
        <w:rPr>
          <w:rFonts w:eastAsia="Arial Unicode MS"/>
          <w:b/>
          <w:sz w:val="24"/>
          <w:szCs w:val="24"/>
          <w:lang w:bidi="ar-SA"/>
        </w:rPr>
        <w:t xml:space="preserve">DATA: </w:t>
      </w:r>
      <w:r>
        <w:rPr>
          <w:rFonts w:eastAsia="Arial Unicode MS" w:cs="Arial"/>
          <w:b/>
          <w:color w:val="auto"/>
          <w:kern w:val="2"/>
          <w:sz w:val="24"/>
          <w:szCs w:val="24"/>
          <w:lang w:val="pt-BR" w:eastAsia="zh-CN" w:bidi="ar-SA"/>
        </w:rPr>
        <w:t>MAIO</w:t>
      </w:r>
      <w:r>
        <w:rPr>
          <w:rFonts w:eastAsia="Arial Unicode MS"/>
          <w:b/>
          <w:sz w:val="24"/>
          <w:szCs w:val="24"/>
          <w:shd w:fill="auto" w:val="clear"/>
          <w:lang w:bidi="ar-SA"/>
        </w:rPr>
        <w:t>/2025</w:t>
      </w:r>
    </w:p>
    <w:p>
      <w:pPr>
        <w:pStyle w:val="Standard"/>
        <w:spacing w:before="280" w:after="280"/>
        <w:rPr>
          <w:rFonts w:eastAsia="Arial Unicode MS"/>
          <w:b/>
          <w:b/>
          <w:sz w:val="24"/>
          <w:szCs w:val="24"/>
          <w:lang w:bidi="ar-SA"/>
        </w:rPr>
      </w:pPr>
      <w:r>
        <w:rPr>
          <w:rFonts w:eastAsia="Arial Unicode MS"/>
          <w:b/>
          <w:sz w:val="24"/>
          <w:szCs w:val="24"/>
          <w:lang w:bidi="ar-SA"/>
        </w:rPr>
      </w:r>
    </w:p>
    <w:p>
      <w:pPr>
        <w:pStyle w:val="Standard"/>
        <w:spacing w:before="280" w:after="280"/>
        <w:rPr>
          <w:rFonts w:eastAsia="Arial Unicode MS"/>
          <w:b/>
          <w:b/>
          <w:sz w:val="24"/>
          <w:szCs w:val="24"/>
          <w:lang w:bidi="ar-SA"/>
        </w:rPr>
      </w:pPr>
      <w:r>
        <w:rPr>
          <w:rFonts w:eastAsia="Arial Unicode MS"/>
          <w:b/>
          <w:sz w:val="24"/>
          <w:szCs w:val="24"/>
          <w:lang w:bidi="ar-SA"/>
        </w:rPr>
      </w:r>
    </w:p>
    <w:sdt>
      <w:sdtPr>
        <w:docPartObj>
          <w:docPartGallery w:val="Table of Contents"/>
          <w:docPartUnique w:val="true"/>
        </w:docPartObj>
      </w:sdtPr>
      <w:sdtContent>
        <w:p>
          <w:pPr>
            <w:pStyle w:val="Ttulodosumrio"/>
            <w:suppressLineNumbers/>
            <w:ind w:left="0" w:hanging="0"/>
            <w:rPr>
              <w:b/>
              <w:b/>
              <w:bCs/>
              <w:sz w:val="32"/>
              <w:szCs w:val="32"/>
            </w:rPr>
          </w:pPr>
          <w:r>
            <w:rPr>
              <w:b/>
              <w:bCs/>
              <w:sz w:val="32"/>
              <w:szCs w:val="32"/>
            </w:rPr>
            <w:t>SUMÁRIO</w:t>
          </w:r>
        </w:p>
        <w:p>
          <w:pPr>
            <w:pStyle w:val="Sumrio2"/>
            <w:tabs>
              <w:tab w:val="clear" w:pos="880"/>
              <w:tab w:val="clear" w:pos="9860"/>
              <w:tab w:val="right" w:pos="9645" w:leader="dot"/>
            </w:tabs>
            <w:rPr/>
          </w:pPr>
          <w:r>
            <w:fldChar w:fldCharType="begin"/>
          </w:r>
          <w:r>
            <w:rPr>
              <w:rStyle w:val="Vnculodendice"/>
            </w:rPr>
            <w:instrText> TOC \o "1-3" \h</w:instrText>
          </w:r>
          <w:r>
            <w:rPr>
              <w:rStyle w:val="Vnculodendice"/>
            </w:rPr>
            <w:fldChar w:fldCharType="separate"/>
          </w:r>
          <w:hyperlink w:anchor="__RefHeading___Toc8219_3024895937">
            <w:r>
              <w:rPr>
                <w:rStyle w:val="Vnculodendice"/>
              </w:rPr>
              <w:t>1. OBJETO</w:t>
              <w:tab/>
              <w:t>4</w:t>
            </w:r>
          </w:hyperlink>
        </w:p>
        <w:p>
          <w:pPr>
            <w:pStyle w:val="Sumrio2"/>
            <w:tabs>
              <w:tab w:val="clear" w:pos="880"/>
              <w:tab w:val="clear" w:pos="9860"/>
              <w:tab w:val="right" w:pos="9645" w:leader="dot"/>
            </w:tabs>
            <w:rPr/>
          </w:pPr>
          <w:hyperlink w:anchor="__RefHeading___Toc7356_3496517312">
            <w:r>
              <w:rPr>
                <w:rStyle w:val="Vnculodendice"/>
              </w:rPr>
              <w:t>1.1.1. LOCALIZAÇÃO</w:t>
              <w:tab/>
              <w:t>4</w:t>
            </w:r>
          </w:hyperlink>
        </w:p>
        <w:p>
          <w:pPr>
            <w:pStyle w:val="Sumrio2"/>
            <w:tabs>
              <w:tab w:val="clear" w:pos="880"/>
              <w:tab w:val="clear" w:pos="9860"/>
              <w:tab w:val="right" w:pos="9645" w:leader="dot"/>
            </w:tabs>
            <w:rPr/>
          </w:pPr>
          <w:hyperlink w:anchor="__RefHeading___Toc7358_3496517312">
            <w:r>
              <w:rPr>
                <w:rStyle w:val="Vnculodendice"/>
              </w:rPr>
              <w:t>1.1.2. REGIME DE EXECUÇÃO</w:t>
              <w:tab/>
              <w:t>4</w:t>
            </w:r>
          </w:hyperlink>
        </w:p>
        <w:p>
          <w:pPr>
            <w:pStyle w:val="Sumrio2"/>
            <w:tabs>
              <w:tab w:val="clear" w:pos="880"/>
              <w:tab w:val="clear" w:pos="9860"/>
              <w:tab w:val="right" w:pos="9645" w:leader="dot"/>
            </w:tabs>
            <w:rPr/>
          </w:pPr>
          <w:hyperlink w:anchor="__RefHeading___Toc7360_3496517312">
            <w:r>
              <w:rPr>
                <w:rStyle w:val="Vnculodendice"/>
              </w:rPr>
              <w:t>1.1.3. MODALIDADE LICITATÓRIA</w:t>
              <w:tab/>
              <w:t>4</w:t>
            </w:r>
          </w:hyperlink>
        </w:p>
        <w:p>
          <w:pPr>
            <w:pStyle w:val="Sumrio2"/>
            <w:tabs>
              <w:tab w:val="clear" w:pos="880"/>
              <w:tab w:val="clear" w:pos="9860"/>
              <w:tab w:val="right" w:pos="9645" w:leader="dot"/>
            </w:tabs>
            <w:rPr/>
          </w:pPr>
          <w:hyperlink w:anchor="__RefHeading___Toc7362_3496517312">
            <w:r>
              <w:rPr>
                <w:rStyle w:val="Vnculodendice"/>
              </w:rPr>
              <w:t>1.1.4. CRITÉRIO DE JULGAMENTO</w:t>
              <w:tab/>
              <w:t>4</w:t>
            </w:r>
          </w:hyperlink>
        </w:p>
        <w:p>
          <w:pPr>
            <w:pStyle w:val="Sumrio2"/>
            <w:tabs>
              <w:tab w:val="clear" w:pos="880"/>
              <w:tab w:val="clear" w:pos="9860"/>
              <w:tab w:val="right" w:pos="9645" w:leader="dot"/>
            </w:tabs>
            <w:rPr/>
          </w:pPr>
          <w:hyperlink w:anchor="__RefHeading___Toc7364_3496517312">
            <w:r>
              <w:rPr>
                <w:rStyle w:val="Vnculodendice"/>
              </w:rPr>
              <w:t>1.1.5. PRAZO DE EXECUÇÃO E VIGÊNCIA</w:t>
              <w:tab/>
              <w:t>4</w:t>
            </w:r>
          </w:hyperlink>
        </w:p>
        <w:p>
          <w:pPr>
            <w:pStyle w:val="Sumrio2"/>
            <w:tabs>
              <w:tab w:val="clear" w:pos="880"/>
              <w:tab w:val="clear" w:pos="9860"/>
              <w:tab w:val="right" w:pos="9645" w:leader="dot"/>
            </w:tabs>
            <w:rPr/>
          </w:pPr>
          <w:hyperlink w:anchor="__RefHeading___Toc7366_3496517312">
            <w:r>
              <w:rPr>
                <w:rStyle w:val="Vnculodendice"/>
              </w:rPr>
              <w:t>1.1.6. NATUREZA DO OBJETO</w:t>
              <w:tab/>
              <w:t>4</w:t>
            </w:r>
          </w:hyperlink>
        </w:p>
        <w:p>
          <w:pPr>
            <w:pStyle w:val="Sumrio2"/>
            <w:tabs>
              <w:tab w:val="clear" w:pos="880"/>
              <w:tab w:val="clear" w:pos="9860"/>
              <w:tab w:val="right" w:pos="9645" w:leader="dot"/>
            </w:tabs>
            <w:rPr/>
          </w:pPr>
          <w:hyperlink w:anchor="__RefHeading___Toc8233_3024895937">
            <w:r>
              <w:rPr>
                <w:rStyle w:val="Vnculodendice"/>
              </w:rPr>
              <w:t>2. IDENTIFICAÇÃO DA EQUIPE</w:t>
              <w:tab/>
              <w:t>5</w:t>
            </w:r>
          </w:hyperlink>
        </w:p>
        <w:p>
          <w:pPr>
            <w:pStyle w:val="Sumrio2"/>
            <w:tabs>
              <w:tab w:val="clear" w:pos="880"/>
              <w:tab w:val="clear" w:pos="9860"/>
              <w:tab w:val="right" w:pos="9645" w:leader="dot"/>
            </w:tabs>
            <w:rPr/>
          </w:pPr>
          <w:hyperlink w:anchor="__RefHeading___Toc8235_3024895937">
            <w:r>
              <w:rPr>
                <w:rStyle w:val="Vnculodendice"/>
              </w:rPr>
              <w:t>2.1. APROVAÇÃO DO TERMO DE REFERÊNCIA PELA AUTORIDADE COMPETENTE</w:t>
              <w:tab/>
              <w:t>5</w:t>
            </w:r>
          </w:hyperlink>
        </w:p>
        <w:p>
          <w:pPr>
            <w:pStyle w:val="Sumrio2"/>
            <w:tabs>
              <w:tab w:val="clear" w:pos="880"/>
              <w:tab w:val="clear" w:pos="9860"/>
              <w:tab w:val="right" w:pos="9645" w:leader="dot"/>
            </w:tabs>
            <w:rPr/>
          </w:pPr>
          <w:hyperlink w:anchor="__RefHeading___Toc8237_3024895937">
            <w:r>
              <w:rPr>
                <w:rStyle w:val="Vnculodendice"/>
              </w:rPr>
              <w:t>2.2. CORPO TÉCNICO SESA</w:t>
              <w:tab/>
              <w:t>5</w:t>
            </w:r>
          </w:hyperlink>
        </w:p>
        <w:p>
          <w:pPr>
            <w:pStyle w:val="Sumrio2"/>
            <w:tabs>
              <w:tab w:val="clear" w:pos="880"/>
              <w:tab w:val="clear" w:pos="9860"/>
              <w:tab w:val="right" w:pos="9645" w:leader="dot"/>
            </w:tabs>
            <w:rPr/>
          </w:pPr>
          <w:hyperlink w:anchor="__RefHeading___Toc7368_3496517312">
            <w:r>
              <w:rPr>
                <w:rStyle w:val="Vnculodendice"/>
              </w:rPr>
              <w:t>2.2.3 CIÊNCIA E ANUÊNCIA</w:t>
              <w:tab/>
              <w:t>5</w:t>
            </w:r>
          </w:hyperlink>
        </w:p>
        <w:p>
          <w:pPr>
            <w:pStyle w:val="Sumrio2"/>
            <w:tabs>
              <w:tab w:val="clear" w:pos="880"/>
              <w:tab w:val="clear" w:pos="9860"/>
              <w:tab w:val="right" w:pos="9645" w:leader="dot"/>
            </w:tabs>
            <w:rPr/>
          </w:pPr>
          <w:hyperlink w:anchor="__RefHeading___Toc7370_3496517312">
            <w:r>
              <w:rPr>
                <w:rStyle w:val="Vnculodendice"/>
              </w:rPr>
              <w:t>2.2.3 RESPONSÁVEL PELA ELABORAÇÃO DO TERMO DE REFERÊNCIA</w:t>
              <w:tab/>
              <w:t>5</w:t>
            </w:r>
          </w:hyperlink>
        </w:p>
        <w:p>
          <w:pPr>
            <w:pStyle w:val="Sumrio2"/>
            <w:tabs>
              <w:tab w:val="clear" w:pos="880"/>
              <w:tab w:val="clear" w:pos="9860"/>
              <w:tab w:val="right" w:pos="9645" w:leader="dot"/>
            </w:tabs>
            <w:rPr/>
          </w:pPr>
          <w:hyperlink w:anchor="__RefHeading___Toc8239_3024895937">
            <w:r>
              <w:rPr>
                <w:rStyle w:val="Vnculodendice"/>
              </w:rPr>
              <w:t>3. FUNDAMENTAÇÃO DA CONTRATAÇÃO</w:t>
              <w:tab/>
              <w:t>5</w:t>
            </w:r>
          </w:hyperlink>
        </w:p>
        <w:p>
          <w:pPr>
            <w:pStyle w:val="Sumrio2"/>
            <w:tabs>
              <w:tab w:val="clear" w:pos="880"/>
              <w:tab w:val="clear" w:pos="9860"/>
              <w:tab w:val="right" w:pos="9645" w:leader="dot"/>
            </w:tabs>
            <w:rPr/>
          </w:pPr>
          <w:hyperlink w:anchor="__RefHeading___Toc8241_30248959371">
            <w:r>
              <w:rPr>
                <w:rStyle w:val="Vnculodendice"/>
              </w:rPr>
              <w:t>3.1. JUSTIFICATIVA DA CLASSIFICAÇÃO DA NATUREZA DO OBJETO</w:t>
              <w:tab/>
              <w:t>6</w:t>
            </w:r>
          </w:hyperlink>
        </w:p>
        <w:p>
          <w:pPr>
            <w:pStyle w:val="Sumrio2"/>
            <w:tabs>
              <w:tab w:val="clear" w:pos="880"/>
              <w:tab w:val="clear" w:pos="9860"/>
              <w:tab w:val="right" w:pos="9645" w:leader="dot"/>
            </w:tabs>
            <w:rPr/>
          </w:pPr>
          <w:hyperlink w:anchor="__RefHeading___Toc8241_302489593712">
            <w:r>
              <w:rPr>
                <w:rStyle w:val="Vnculodendice"/>
              </w:rPr>
              <w:t>3.2. JUSTIFICATIVA DA CLASSIFICAÇÃO DE SERVIÇO ESPECIAL DE ENGENHARIA</w:t>
              <w:tab/>
              <w:t>7</w:t>
            </w:r>
          </w:hyperlink>
        </w:p>
        <w:p>
          <w:pPr>
            <w:pStyle w:val="Sumrio2"/>
            <w:tabs>
              <w:tab w:val="clear" w:pos="880"/>
              <w:tab w:val="clear" w:pos="9860"/>
              <w:tab w:val="right" w:pos="9645" w:leader="dot"/>
            </w:tabs>
            <w:rPr/>
          </w:pPr>
          <w:hyperlink w:anchor="__RefHeading___Toc8241_3024895937">
            <w:r>
              <w:rPr>
                <w:rStyle w:val="Vnculodendice"/>
              </w:rPr>
              <w:t>3.3. LEGISLAÇÃO, NORMAS E REGULAMENTOS</w:t>
              <w:tab/>
              <w:t>7</w:t>
            </w:r>
          </w:hyperlink>
        </w:p>
        <w:p>
          <w:pPr>
            <w:pStyle w:val="Sumrio2"/>
            <w:tabs>
              <w:tab w:val="clear" w:pos="880"/>
              <w:tab w:val="clear" w:pos="9860"/>
              <w:tab w:val="right" w:pos="9645" w:leader="dot"/>
            </w:tabs>
            <w:rPr/>
          </w:pPr>
          <w:hyperlink w:anchor="__RefHeading___Toc8243_3024895937">
            <w:r>
              <w:rPr>
                <w:rStyle w:val="Vnculodendice"/>
              </w:rPr>
              <w:t>4. DESCRIÇÃO DA SOLUÇÃO COMO UM TODO E VOLUME DA SOLUÇÃO DEMANDADA</w:t>
              <w:tab/>
              <w:t>7</w:t>
            </w:r>
          </w:hyperlink>
        </w:p>
        <w:p>
          <w:pPr>
            <w:pStyle w:val="Sumrio2"/>
            <w:tabs>
              <w:tab w:val="clear" w:pos="880"/>
              <w:tab w:val="clear" w:pos="9860"/>
              <w:tab w:val="right" w:pos="9645" w:leader="dot"/>
            </w:tabs>
            <w:rPr/>
          </w:pPr>
          <w:hyperlink w:anchor="__RefHeading___Toc8245_3024895937">
            <w:r>
              <w:rPr>
                <w:rStyle w:val="Vnculodendice"/>
              </w:rPr>
              <w:t>5. REQUISITOS DA CONTRATAÇÃO</w:t>
              <w:tab/>
              <w:t>8</w:t>
            </w:r>
          </w:hyperlink>
        </w:p>
        <w:p>
          <w:pPr>
            <w:pStyle w:val="Sumrio2"/>
            <w:tabs>
              <w:tab w:val="clear" w:pos="880"/>
              <w:tab w:val="clear" w:pos="9860"/>
              <w:tab w:val="right" w:pos="9645" w:leader="dot"/>
            </w:tabs>
            <w:rPr/>
          </w:pPr>
          <w:hyperlink w:anchor="__RefHeading___Toc8247_3024895937">
            <w:r>
              <w:rPr>
                <w:rStyle w:val="Vnculodendice"/>
              </w:rPr>
              <w:t>5.1. PARTICIPAÇÃO DE CONSÓRCIO</w:t>
              <w:tab/>
              <w:t>8</w:t>
            </w:r>
          </w:hyperlink>
        </w:p>
        <w:p>
          <w:pPr>
            <w:pStyle w:val="Sumrio2"/>
            <w:tabs>
              <w:tab w:val="clear" w:pos="880"/>
              <w:tab w:val="clear" w:pos="9860"/>
              <w:tab w:val="right" w:pos="9645" w:leader="dot"/>
            </w:tabs>
            <w:rPr/>
          </w:pPr>
          <w:hyperlink w:anchor="__RefHeading___Toc8249_3024895937">
            <w:r>
              <w:rPr>
                <w:rStyle w:val="Vnculodendice"/>
              </w:rPr>
              <w:t>5.2. SUBCONTRATAÇÃO</w:t>
              <w:tab/>
              <w:t>8</w:t>
            </w:r>
          </w:hyperlink>
        </w:p>
        <w:p>
          <w:pPr>
            <w:pStyle w:val="Sumrio2"/>
            <w:tabs>
              <w:tab w:val="clear" w:pos="880"/>
              <w:tab w:val="clear" w:pos="9860"/>
              <w:tab w:val="right" w:pos="9645" w:leader="dot"/>
            </w:tabs>
            <w:rPr/>
          </w:pPr>
          <w:hyperlink w:anchor="__RefHeading___Toc8251_3024895937">
            <w:r>
              <w:rPr>
                <w:rStyle w:val="Vnculodendice"/>
              </w:rPr>
              <w:t>5.3. VISTORIA/ VISITA TÉCNICA</w:t>
              <w:tab/>
              <w:t>8</w:t>
            </w:r>
          </w:hyperlink>
        </w:p>
        <w:p>
          <w:pPr>
            <w:pStyle w:val="Sumrio2"/>
            <w:tabs>
              <w:tab w:val="clear" w:pos="880"/>
              <w:tab w:val="clear" w:pos="9860"/>
              <w:tab w:val="right" w:pos="9645" w:leader="dot"/>
            </w:tabs>
            <w:rPr/>
          </w:pPr>
          <w:hyperlink w:anchor="__RefHeading___Toc6382_3747343156">
            <w:r>
              <w:rPr>
                <w:rStyle w:val="Vnculodendice"/>
              </w:rPr>
              <w:t>6. JUSTIFICATIVA</w:t>
              <w:tab/>
              <w:t>9</w:t>
            </w:r>
          </w:hyperlink>
        </w:p>
        <w:p>
          <w:pPr>
            <w:pStyle w:val="Sumrio2"/>
            <w:tabs>
              <w:tab w:val="clear" w:pos="880"/>
              <w:tab w:val="clear" w:pos="9860"/>
              <w:tab w:val="right" w:pos="9645" w:leader="dot"/>
            </w:tabs>
            <w:rPr/>
          </w:pPr>
          <w:hyperlink w:anchor="__RefHeading___Toc6384_3747343156">
            <w:r>
              <w:rPr>
                <w:rStyle w:val="Vnculodendice"/>
              </w:rPr>
              <w:t>6.1. DA NECESSIDADE DA CONTRATAÇÃO</w:t>
              <w:tab/>
              <w:t>9</w:t>
            </w:r>
          </w:hyperlink>
        </w:p>
        <w:p>
          <w:pPr>
            <w:pStyle w:val="Sumrio1"/>
            <w:tabs>
              <w:tab w:val="clear" w:pos="720"/>
              <w:tab w:val="right" w:pos="9645" w:leader="dot"/>
            </w:tabs>
            <w:rPr/>
          </w:pPr>
          <w:hyperlink w:anchor="__RefHeading___Toc8253_3024895937">
            <w:r>
              <w:rPr>
                <w:rStyle w:val="Vnculodendice"/>
              </w:rPr>
              <w:t>7. MODELO DE EXECUÇÃO DO OBJETO</w:t>
              <w:tab/>
              <w:t>9</w:t>
            </w:r>
          </w:hyperlink>
        </w:p>
        <w:p>
          <w:pPr>
            <w:pStyle w:val="Sumrio2"/>
            <w:tabs>
              <w:tab w:val="clear" w:pos="880"/>
              <w:tab w:val="clear" w:pos="9860"/>
              <w:tab w:val="right" w:pos="9645" w:leader="dot"/>
            </w:tabs>
            <w:rPr/>
          </w:pPr>
          <w:hyperlink w:anchor="__RefHeading___Toc8287_3024895937">
            <w:r>
              <w:rPr>
                <w:rStyle w:val="Vnculodendice"/>
              </w:rPr>
              <w:t>8. MODELO DE GESTÃO DO CONTRATO E CONTROLE DE EXECUÇÃO</w:t>
              <w:tab/>
              <w:t>10</w:t>
            </w:r>
          </w:hyperlink>
        </w:p>
        <w:p>
          <w:pPr>
            <w:pStyle w:val="Sumrio2"/>
            <w:tabs>
              <w:tab w:val="clear" w:pos="880"/>
              <w:tab w:val="clear" w:pos="9860"/>
              <w:tab w:val="right" w:pos="9645" w:leader="dot"/>
            </w:tabs>
            <w:rPr/>
          </w:pPr>
          <w:hyperlink w:anchor="__RefHeading___Toc8289_3024895937">
            <w:r>
              <w:rPr>
                <w:rStyle w:val="Vnculodendice"/>
              </w:rPr>
              <w:t>8.1. AGENTES RESPONSÁVEIS PELO ACOMPANHAMENTO E GESTÃO DO CONTRATO</w:t>
              <w:tab/>
              <w:t>10</w:t>
            </w:r>
          </w:hyperlink>
        </w:p>
        <w:p>
          <w:pPr>
            <w:pStyle w:val="Sumrio2"/>
            <w:tabs>
              <w:tab w:val="clear" w:pos="880"/>
              <w:tab w:val="clear" w:pos="9860"/>
              <w:tab w:val="right" w:pos="9645" w:leader="dot"/>
            </w:tabs>
            <w:rPr/>
          </w:pPr>
          <w:hyperlink w:anchor="__RefHeading___Toc8291_3024895937">
            <w:r>
              <w:rPr>
                <w:rStyle w:val="Vnculodendice"/>
              </w:rPr>
              <w:t>8.2. COMUNICAÇÃO E TROCA DE INFORMAÇÕES ENTRE CONTRATANTE E CONTRATADA</w:t>
              <w:tab/>
              <w:t>10</w:t>
            </w:r>
          </w:hyperlink>
        </w:p>
        <w:p>
          <w:pPr>
            <w:pStyle w:val="Sumrio2"/>
            <w:tabs>
              <w:tab w:val="clear" w:pos="880"/>
              <w:tab w:val="clear" w:pos="9860"/>
              <w:tab w:val="right" w:pos="9645" w:leader="dot"/>
            </w:tabs>
            <w:rPr/>
          </w:pPr>
          <w:hyperlink w:anchor="__RefHeading___Toc8293_3024895937">
            <w:r>
              <w:rPr>
                <w:rStyle w:val="Vnculodendice"/>
              </w:rPr>
              <w:t>8.3. FORMA DE PAGAMENTO DO OBJETO CONTRATADO</w:t>
              <w:tab/>
              <w:t>10</w:t>
            </w:r>
          </w:hyperlink>
        </w:p>
        <w:p>
          <w:pPr>
            <w:pStyle w:val="Sumrio2"/>
            <w:tabs>
              <w:tab w:val="clear" w:pos="880"/>
              <w:tab w:val="clear" w:pos="9860"/>
              <w:tab w:val="right" w:pos="9645" w:leader="dot"/>
            </w:tabs>
            <w:rPr/>
          </w:pPr>
          <w:hyperlink w:anchor="__RefHeading___Toc8295_3024895937">
            <w:r>
              <w:rPr>
                <w:rStyle w:val="Vnculodendice"/>
              </w:rPr>
              <w:t>8.4. SANÇÕES, GLOSAS E EXTINÇÃO DO CONTRATO</w:t>
              <w:tab/>
              <w:t>10</w:t>
            </w:r>
          </w:hyperlink>
        </w:p>
        <w:p>
          <w:pPr>
            <w:pStyle w:val="Sumrio2"/>
            <w:tabs>
              <w:tab w:val="clear" w:pos="880"/>
              <w:tab w:val="clear" w:pos="9860"/>
              <w:tab w:val="right" w:pos="9645" w:leader="dot"/>
            </w:tabs>
            <w:rPr/>
          </w:pPr>
          <w:hyperlink w:anchor="__RefHeading___Toc8297_3024895937">
            <w:r>
              <w:rPr>
                <w:rStyle w:val="Vnculodendice"/>
              </w:rPr>
              <w:t>8.5. CRONOGRAMA DE EXECUÇÃO FÍSICA</w:t>
              <w:tab/>
              <w:t>11</w:t>
            </w:r>
          </w:hyperlink>
        </w:p>
        <w:p>
          <w:pPr>
            <w:pStyle w:val="Sumrio2"/>
            <w:tabs>
              <w:tab w:val="clear" w:pos="880"/>
              <w:tab w:val="clear" w:pos="9860"/>
              <w:tab w:val="right" w:pos="9645" w:leader="dot"/>
            </w:tabs>
            <w:rPr/>
          </w:pPr>
          <w:hyperlink w:anchor="__RefHeading___Toc8299_3024895937">
            <w:r>
              <w:rPr>
                <w:rStyle w:val="Vnculodendice"/>
              </w:rPr>
              <w:t>8.6. DAS GARANTIAS</w:t>
              <w:tab/>
              <w:t>11</w:t>
            </w:r>
          </w:hyperlink>
        </w:p>
        <w:p>
          <w:pPr>
            <w:pStyle w:val="Sumrio2"/>
            <w:tabs>
              <w:tab w:val="clear" w:pos="880"/>
              <w:tab w:val="clear" w:pos="9860"/>
              <w:tab w:val="right" w:pos="9645" w:leader="dot"/>
            </w:tabs>
            <w:rPr/>
          </w:pPr>
          <w:hyperlink w:anchor="__RefHeading___Toc7372_3496517312">
            <w:r>
              <w:rPr>
                <w:rStyle w:val="Vnculodendice"/>
              </w:rPr>
              <w:t>Devida por se tratar de obra de pequeno valor, não será solicitado garantia da contratada.</w:t>
              <w:tab/>
              <w:t>11</w:t>
            </w:r>
          </w:hyperlink>
        </w:p>
        <w:p>
          <w:pPr>
            <w:pStyle w:val="Sumrio2"/>
            <w:tabs>
              <w:tab w:val="clear" w:pos="880"/>
              <w:tab w:val="clear" w:pos="9860"/>
              <w:tab w:val="right" w:pos="9645" w:leader="dot"/>
            </w:tabs>
            <w:rPr/>
          </w:pPr>
          <w:hyperlink w:anchor="__RefHeading___Toc4259_2660218679">
            <w:r>
              <w:rPr>
                <w:rStyle w:val="Vnculodendice"/>
              </w:rPr>
              <w:t>9. CRITÉRIOS DE MEDIÇÃO DOS SERVIÇOS E FORMA DE PAGAMENTO</w:t>
              <w:tab/>
              <w:t>11</w:t>
            </w:r>
          </w:hyperlink>
        </w:p>
        <w:p>
          <w:pPr>
            <w:pStyle w:val="Sumrio2"/>
            <w:tabs>
              <w:tab w:val="clear" w:pos="880"/>
              <w:tab w:val="clear" w:pos="9860"/>
              <w:tab w:val="right" w:pos="9645" w:leader="dot"/>
            </w:tabs>
            <w:rPr/>
          </w:pPr>
          <w:hyperlink w:anchor="__RefHeading___Toc8303_3024895937">
            <w:r>
              <w:rPr>
                <w:rStyle w:val="Vnculodendice"/>
              </w:rPr>
              <w:t>9.1. MEDIÇÕES DOS SERVIÇOS</w:t>
              <w:tab/>
              <w:t>11</w:t>
            </w:r>
          </w:hyperlink>
        </w:p>
        <w:p>
          <w:pPr>
            <w:pStyle w:val="Sumrio2"/>
            <w:tabs>
              <w:tab w:val="clear" w:pos="880"/>
              <w:tab w:val="clear" w:pos="9860"/>
              <w:tab w:val="right" w:pos="9645" w:leader="dot"/>
            </w:tabs>
            <w:rPr/>
          </w:pPr>
          <w:hyperlink w:anchor="__RefHeading___Toc8305_3024895937">
            <w:r>
              <w:rPr>
                <w:rStyle w:val="Vnculodendice"/>
              </w:rPr>
              <w:t>9.2. FORMA DE PAGAMENTO</w:t>
              <w:tab/>
              <w:t>11</w:t>
            </w:r>
          </w:hyperlink>
        </w:p>
        <w:p>
          <w:pPr>
            <w:pStyle w:val="Sumrio2"/>
            <w:tabs>
              <w:tab w:val="clear" w:pos="880"/>
              <w:tab w:val="clear" w:pos="9860"/>
              <w:tab w:val="right" w:pos="9645" w:leader="dot"/>
            </w:tabs>
            <w:rPr/>
          </w:pPr>
          <w:hyperlink w:anchor="__RefHeading___Toc8307_3024895937">
            <w:r>
              <w:rPr>
                <w:rStyle w:val="Vnculodendice"/>
              </w:rPr>
              <w:t>10. FORMA E CRITÉRIO DE SELEÇÃO DO FORNECEDOR</w:t>
              <w:tab/>
              <w:t>14</w:t>
            </w:r>
          </w:hyperlink>
        </w:p>
        <w:p>
          <w:pPr>
            <w:pStyle w:val="Sumrio2"/>
            <w:tabs>
              <w:tab w:val="clear" w:pos="880"/>
              <w:tab w:val="clear" w:pos="9860"/>
              <w:tab w:val="right" w:pos="9645" w:leader="dot"/>
            </w:tabs>
            <w:rPr/>
          </w:pPr>
          <w:hyperlink w:anchor="__RefHeading___Toc8313_3024895937">
            <w:r>
              <w:rPr>
                <w:rStyle w:val="Vnculodendice"/>
              </w:rPr>
              <w:t>10.1. AVALIAÇÃO DA CAPACIDADE OPERACIONAL DA EMPRESA PARA A EXECUÇÃO DE OBRA</w:t>
              <w:tab/>
              <w:t>15</w:t>
            </w:r>
          </w:hyperlink>
        </w:p>
        <w:p>
          <w:pPr>
            <w:pStyle w:val="Sumrio2"/>
            <w:tabs>
              <w:tab w:val="clear" w:pos="880"/>
              <w:tab w:val="clear" w:pos="9860"/>
              <w:tab w:val="right" w:pos="9645" w:leader="dot"/>
            </w:tabs>
            <w:rPr/>
          </w:pPr>
          <w:hyperlink w:anchor="__RefHeading___Toc8311_3024895937">
            <w:r>
              <w:rPr>
                <w:rStyle w:val="Vnculodendice"/>
              </w:rPr>
              <w:t>10.2. AVALIAÇÃO DA TÉCNICA DO PROFISSIONAL DA EMPRESA PARA EXECUÇÃO DA OBRA</w:t>
              <w:tab/>
              <w:t>16</w:t>
            </w:r>
          </w:hyperlink>
        </w:p>
        <w:p>
          <w:pPr>
            <w:pStyle w:val="Sumrio2"/>
            <w:tabs>
              <w:tab w:val="clear" w:pos="880"/>
              <w:tab w:val="clear" w:pos="9860"/>
              <w:tab w:val="right" w:pos="9645" w:leader="dot"/>
            </w:tabs>
            <w:rPr/>
          </w:pPr>
          <w:hyperlink w:anchor="__RefHeading___Toc1667_2069000241">
            <w:r>
              <w:rPr>
                <w:rStyle w:val="Vnculodendice"/>
              </w:rPr>
              <w:t>11. ORÇAMENTO ESTIMADO, PREÇO DE REFERÊNCIA E REMUNERAÇÃO</w:t>
              <w:tab/>
              <w:t>17</w:t>
            </w:r>
          </w:hyperlink>
        </w:p>
        <w:p>
          <w:pPr>
            <w:pStyle w:val="Sumrio2"/>
            <w:tabs>
              <w:tab w:val="clear" w:pos="880"/>
              <w:tab w:val="clear" w:pos="9860"/>
              <w:tab w:val="right" w:pos="9645" w:leader="dot"/>
            </w:tabs>
            <w:rPr/>
          </w:pPr>
          <w:hyperlink w:anchor="__RefHeading___Toc8315_3024895937_Copia_">
            <w:r>
              <w:rPr>
                <w:rStyle w:val="Vnculodendice"/>
              </w:rPr>
              <w:t>11.1. ORÇAMENTO ESTIMADO DA LICITAÇÃO E PREÇO DE REFERÊNCIA</w:t>
              <w:tab/>
              <w:t>18</w:t>
            </w:r>
          </w:hyperlink>
        </w:p>
        <w:p>
          <w:pPr>
            <w:pStyle w:val="Sumrio2"/>
            <w:tabs>
              <w:tab w:val="clear" w:pos="880"/>
              <w:tab w:val="clear" w:pos="9860"/>
              <w:tab w:val="right" w:pos="9645" w:leader="dot"/>
            </w:tabs>
            <w:rPr/>
          </w:pPr>
          <w:hyperlink w:anchor="__RefHeading___Toc8317_3024895937_Copia_">
            <w:r>
              <w:rPr>
                <w:rStyle w:val="Vnculodendice"/>
              </w:rPr>
              <w:t>11.2. VALOR MÁXIMO DA REMUNERAÇÃO</w:t>
              <w:tab/>
              <w:t>18</w:t>
            </w:r>
          </w:hyperlink>
          <w:r>
            <w:rPr>
              <w:rStyle w:val="Vnculodendice"/>
            </w:rPr>
            <w:fldChar w:fldCharType="end"/>
          </w:r>
        </w:p>
      </w:sdtContent>
    </w:sdt>
    <w:p>
      <w:pPr>
        <w:pStyle w:val="Normal"/>
        <w:spacing w:lineRule="auto" w:line="240" w:before="0" w:after="0"/>
        <w:rPr>
          <w:rFonts w:ascii="Arial" w:hAnsi="Arial" w:eastAsia="Arial" w:cs="Arial"/>
          <w:b/>
          <w:b/>
          <w:bCs/>
          <w:sz w:val="24"/>
          <w:szCs w:val="24"/>
          <w:lang w:val="pt-PT"/>
        </w:rPr>
      </w:pPr>
      <w:r>
        <w:rPr>
          <w:rFonts w:eastAsia="Arial" w:cs="Arial" w:ascii="Arial" w:hAnsi="Arial"/>
          <w:b/>
          <w:bCs/>
          <w:sz w:val="24"/>
          <w:szCs w:val="24"/>
          <w:lang w:val="pt-PT"/>
        </w:rPr>
      </w:r>
      <w:r>
        <w:br w:type="page"/>
      </w:r>
    </w:p>
    <w:p>
      <w:pPr>
        <w:pStyle w:val="Ttulo12"/>
        <w:numPr>
          <w:ilvl w:val="0"/>
          <w:numId w:val="1"/>
        </w:numPr>
        <w:tabs>
          <w:tab w:val="clear" w:pos="720"/>
          <w:tab w:val="left" w:pos="567" w:leader="none"/>
        </w:tabs>
        <w:spacing w:before="71" w:after="240"/>
        <w:ind w:left="567" w:right="0" w:hanging="567"/>
        <w:rPr/>
      </w:pPr>
      <w:bookmarkStart w:id="2" w:name="__RefHeading___Toc8219_3024895937"/>
      <w:bookmarkStart w:id="3" w:name="_Toc108539626"/>
      <w:bookmarkStart w:id="4" w:name="_Toc163657368"/>
      <w:bookmarkEnd w:id="2"/>
      <w:r>
        <w:rPr/>
        <w:t>OBJETO</w:t>
      </w:r>
      <w:bookmarkEnd w:id="3"/>
      <w:bookmarkEnd w:id="4"/>
    </w:p>
    <w:p>
      <w:pPr>
        <w:pStyle w:val="Corpodotexto"/>
        <w:ind w:left="0" w:right="0" w:hanging="0"/>
        <w:rPr/>
      </w:pPr>
      <w:r>
        <w:rPr/>
      </w:r>
    </w:p>
    <w:p>
      <w:pPr>
        <w:pStyle w:val="Corpodotexto"/>
        <w:ind w:left="0" w:right="0" w:hanging="0"/>
        <w:rPr/>
      </w:pPr>
      <w:r>
        <w:rPr/>
        <w:t xml:space="preserve">1.1 Constitui objeto do presente Contrato a execução de serviço(s) especiais de engenharia </w:t>
      </w:r>
      <w:r>
        <w:rPr>
          <w:rFonts w:eastAsia="Arial Unicode MS" w:cs="Arial"/>
          <w:color w:val="auto"/>
          <w:kern w:val="0"/>
          <w:sz w:val="22"/>
          <w:szCs w:val="22"/>
          <w:lang w:val="pt-PT" w:eastAsia="en-US" w:bidi="ar-SA"/>
        </w:rPr>
        <w:t xml:space="preserve">de instalação elétrica de pontos de tomada, quadro de distribuição e medidor conforme Termo de Referência </w:t>
      </w:r>
      <w:r>
        <w:rPr>
          <w:rFonts w:eastAsia="Arial Unicode MS" w:cs="Arial"/>
          <w:color w:val="auto"/>
          <w:kern w:val="0"/>
          <w:sz w:val="22"/>
          <w:szCs w:val="22"/>
          <w:lang w:val="pt-PT" w:eastAsia="en-US" w:bidi="ar-SA"/>
        </w:rPr>
        <w:t>Anexo XIV.1</w:t>
      </w:r>
      <w:r>
        <w:rPr>
          <w:rFonts w:eastAsia="Arial Unicode MS" w:cs="Arial"/>
          <w:color w:val="auto"/>
          <w:kern w:val="0"/>
          <w:sz w:val="22"/>
          <w:szCs w:val="22"/>
          <w:lang w:val="pt-PT" w:eastAsia="en-US" w:bidi="ar-SA"/>
        </w:rPr>
        <w:t xml:space="preserve">, Memorial </w:t>
      </w:r>
      <w:r>
        <w:rPr>
          <w:rFonts w:eastAsia="Arial Unicode MS" w:cs="Arial"/>
          <w:color w:val="auto"/>
          <w:kern w:val="0"/>
          <w:sz w:val="22"/>
          <w:szCs w:val="22"/>
          <w:lang w:val="pt-PT" w:eastAsia="en-US" w:bidi="ar-SA"/>
        </w:rPr>
        <w:t>Anexo XIV.2</w:t>
      </w:r>
      <w:r>
        <w:rPr>
          <w:rFonts w:eastAsia="Arial Unicode MS" w:cs="Arial"/>
          <w:color w:val="auto"/>
          <w:kern w:val="0"/>
          <w:sz w:val="22"/>
          <w:szCs w:val="22"/>
          <w:lang w:val="pt-PT" w:eastAsia="en-US" w:bidi="ar-SA"/>
        </w:rPr>
        <w:t xml:space="preserve">, Projeto </w:t>
      </w:r>
      <w:r>
        <w:rPr>
          <w:rFonts w:eastAsia="Arial Unicode MS" w:cs="Arial"/>
          <w:color w:val="auto"/>
          <w:kern w:val="0"/>
          <w:sz w:val="22"/>
          <w:szCs w:val="22"/>
          <w:lang w:val="pt-PT" w:eastAsia="en-US" w:bidi="ar-SA"/>
        </w:rPr>
        <w:t>Anexo XIV.3</w:t>
      </w:r>
      <w:r>
        <w:rPr/>
        <w:t xml:space="preserve">, </w:t>
      </w:r>
      <w:r>
        <w:rPr/>
        <w:t xml:space="preserve">na </w:t>
      </w:r>
      <w:r>
        <w:rPr/>
        <w:t xml:space="preserve">Travessa João Prosdócimo, 145 – Alto da XV, município de </w:t>
      </w:r>
      <w:r>
        <w:rPr>
          <w:rFonts w:eastAsia="Arial Unicode MS" w:cs="Arial"/>
          <w:color w:val="auto"/>
          <w:kern w:val="0"/>
          <w:sz w:val="22"/>
          <w:szCs w:val="22"/>
          <w:lang w:val="pt-PT" w:eastAsia="en-US" w:bidi="ar-SA"/>
        </w:rPr>
        <w:t>Curitiba</w:t>
      </w:r>
      <w:r>
        <w:rPr/>
        <w:t>, Paraná, conforme planilha de custos (Anexo XIII).</w:t>
      </w:r>
    </w:p>
    <w:p>
      <w:pPr>
        <w:pStyle w:val="Corpodotexto"/>
        <w:ind w:left="0" w:right="0" w:hanging="0"/>
        <w:rPr/>
      </w:pPr>
      <w:r>
        <w:rPr/>
      </w:r>
    </w:p>
    <w:p>
      <w:pPr>
        <w:pStyle w:val="Corpodotexto"/>
        <w:ind w:left="0" w:right="0" w:hanging="0"/>
        <w:rPr/>
      </w:pPr>
      <w:r>
        <w:rPr/>
      </w:r>
    </w:p>
    <w:p>
      <w:pPr>
        <w:pStyle w:val="Ttulo12"/>
        <w:numPr>
          <w:ilvl w:val="2"/>
          <w:numId w:val="1"/>
        </w:numPr>
        <w:ind w:left="360" w:right="0" w:hanging="360"/>
        <w:rPr>
          <w:sz w:val="22"/>
          <w:szCs w:val="22"/>
        </w:rPr>
      </w:pPr>
      <w:bookmarkStart w:id="5" w:name="__RefHeading___Toc7356_3496517312"/>
      <w:bookmarkStart w:id="6" w:name="_Toc1532295011"/>
      <w:bookmarkStart w:id="7" w:name="_Toc1636573741"/>
      <w:bookmarkEnd w:id="5"/>
      <w:r>
        <w:rPr>
          <w:sz w:val="22"/>
          <w:szCs w:val="22"/>
        </w:rPr>
        <w:t>LOCALIZAÇÃO</w:t>
      </w:r>
      <w:bookmarkEnd w:id="6"/>
      <w:bookmarkEnd w:id="7"/>
    </w:p>
    <w:p>
      <w:pPr>
        <w:pStyle w:val="Corpodotexto"/>
        <w:rPr/>
      </w:pPr>
      <w:r>
        <w:rPr/>
        <w:t>Centro de Hematologia e Hemoterapia do Paraná - HEMEPAR</w:t>
      </w:r>
    </w:p>
    <w:p>
      <w:pPr>
        <w:pStyle w:val="Corpodotexto"/>
        <w:rPr/>
      </w:pPr>
      <w:r>
        <w:rPr/>
        <w:t>Travessa João Prosdócimo, 145 – Alto da XV - Curitiba-Paraná | CEP 80.045-145</w:t>
      </w:r>
    </w:p>
    <w:p>
      <w:pPr>
        <w:pStyle w:val="Corpodotexto"/>
        <w:ind w:left="0" w:right="0" w:hanging="0"/>
        <w:rPr>
          <w:b/>
          <w:b/>
          <w:lang w:val="pt-BR"/>
        </w:rPr>
      </w:pPr>
      <w:r>
        <w:rPr>
          <w:b/>
          <w:lang w:val="pt-BR"/>
        </w:rPr>
      </w:r>
    </w:p>
    <w:p>
      <w:pPr>
        <w:pStyle w:val="Ttulo12"/>
        <w:numPr>
          <w:ilvl w:val="2"/>
          <w:numId w:val="1"/>
        </w:numPr>
        <w:ind w:left="360" w:right="0" w:hanging="360"/>
        <w:rPr>
          <w:sz w:val="22"/>
          <w:szCs w:val="22"/>
        </w:rPr>
      </w:pPr>
      <w:bookmarkStart w:id="8" w:name="__RefHeading___Toc7358_3496517312"/>
      <w:bookmarkEnd w:id="8"/>
      <w:r>
        <w:rPr>
          <w:sz w:val="22"/>
          <w:szCs w:val="22"/>
        </w:rPr>
        <w:t>REGIME DE EXECUÇÃO</w:t>
      </w:r>
    </w:p>
    <w:p>
      <w:pPr>
        <w:pStyle w:val="Corpodotexto"/>
        <w:spacing w:lineRule="auto" w:line="240" w:before="0" w:after="0"/>
        <w:ind w:left="0" w:right="0" w:hanging="0"/>
        <w:rPr/>
      </w:pPr>
      <w:r>
        <w:rPr/>
        <w:t xml:space="preserve">O regime de execução do presente Contrato será o de </w:t>
      </w:r>
      <w:r>
        <w:rPr>
          <w:b/>
          <w:bCs/>
        </w:rPr>
        <w:t>empreitada por preço global</w:t>
      </w:r>
      <w:r>
        <w:rPr/>
        <w:t>.</w:t>
      </w:r>
    </w:p>
    <w:p>
      <w:pPr>
        <w:pStyle w:val="Corpodotexto"/>
        <w:ind w:left="0" w:right="0" w:hanging="0"/>
        <w:rPr>
          <w:b/>
          <w:b/>
          <w:lang w:val="pt-BR"/>
        </w:rPr>
      </w:pPr>
      <w:r>
        <w:rPr>
          <w:b/>
          <w:lang w:val="pt-BR"/>
        </w:rPr>
      </w:r>
    </w:p>
    <w:p>
      <w:pPr>
        <w:pStyle w:val="Ttulo12"/>
        <w:numPr>
          <w:ilvl w:val="2"/>
          <w:numId w:val="1"/>
        </w:numPr>
        <w:ind w:left="360" w:right="0" w:hanging="360"/>
        <w:rPr>
          <w:sz w:val="22"/>
          <w:szCs w:val="22"/>
        </w:rPr>
      </w:pPr>
      <w:bookmarkStart w:id="9" w:name="__RefHeading___Toc7360_3496517312"/>
      <w:bookmarkEnd w:id="9"/>
      <w:r>
        <w:rPr>
          <w:b/>
          <w:sz w:val="22"/>
          <w:szCs w:val="22"/>
          <w:lang w:val="pt-BR"/>
        </w:rPr>
        <w:t>MODALIDADE LICITATÓRIA</w:t>
      </w:r>
    </w:p>
    <w:p>
      <w:pPr>
        <w:pStyle w:val="Corpodotexto"/>
        <w:ind w:left="0" w:right="0" w:hanging="0"/>
        <w:rPr/>
      </w:pPr>
      <w:r>
        <w:rPr/>
        <w:t xml:space="preserve">Tipo </w:t>
      </w:r>
      <w:r>
        <w:rPr>
          <w:b/>
          <w:bCs/>
        </w:rPr>
        <w:t>Concorrência Eletrônica.</w:t>
      </w:r>
    </w:p>
    <w:p>
      <w:pPr>
        <w:pStyle w:val="Corpodotexto"/>
        <w:ind w:left="0" w:right="0" w:hanging="0"/>
        <w:rPr>
          <w:b/>
          <w:b/>
          <w:lang w:val="pt-BR"/>
        </w:rPr>
      </w:pPr>
      <w:r>
        <w:rPr>
          <w:b/>
          <w:lang w:val="pt-BR"/>
        </w:rPr>
      </w:r>
    </w:p>
    <w:p>
      <w:pPr>
        <w:pStyle w:val="Ttulo12"/>
        <w:numPr>
          <w:ilvl w:val="2"/>
          <w:numId w:val="1"/>
        </w:numPr>
        <w:ind w:left="360" w:right="0" w:hanging="360"/>
        <w:rPr>
          <w:sz w:val="22"/>
          <w:szCs w:val="22"/>
        </w:rPr>
      </w:pPr>
      <w:bookmarkStart w:id="10" w:name="__RefHeading___Toc7362_3496517312"/>
      <w:bookmarkEnd w:id="10"/>
      <w:r>
        <w:rPr>
          <w:sz w:val="22"/>
          <w:szCs w:val="22"/>
        </w:rPr>
        <w:t>CRITÉRIO DE JULGAMENTO</w:t>
      </w:r>
    </w:p>
    <w:p>
      <w:pPr>
        <w:pStyle w:val="Corpodotexto"/>
        <w:ind w:left="0" w:right="0" w:hanging="0"/>
        <w:rPr/>
      </w:pPr>
      <w:r>
        <w:rPr/>
        <w:t xml:space="preserve">Será adotado como critério de julgamento o de </w:t>
      </w:r>
      <w:r>
        <w:rPr>
          <w:b/>
          <w:bCs/>
        </w:rPr>
        <w:t>menor preço</w:t>
      </w:r>
    </w:p>
    <w:p>
      <w:pPr>
        <w:pStyle w:val="Corpodotexto"/>
        <w:ind w:left="0" w:right="0" w:hanging="0"/>
        <w:rPr/>
      </w:pPr>
      <w:r>
        <w:rPr/>
      </w:r>
    </w:p>
    <w:p>
      <w:pPr>
        <w:pStyle w:val="Ttulo12"/>
        <w:numPr>
          <w:ilvl w:val="2"/>
          <w:numId w:val="1"/>
        </w:numPr>
        <w:ind w:left="360" w:right="0" w:hanging="360"/>
        <w:rPr>
          <w:sz w:val="22"/>
          <w:szCs w:val="22"/>
        </w:rPr>
      </w:pPr>
      <w:bookmarkStart w:id="11" w:name="__RefHeading___Toc7364_3496517312"/>
      <w:bookmarkEnd w:id="11"/>
      <w:r>
        <w:rPr>
          <w:sz w:val="22"/>
          <w:szCs w:val="22"/>
        </w:rPr>
        <w:t>PRAZO DE EXECUÇÃO E VIGÊNCIA</w:t>
      </w:r>
    </w:p>
    <w:p>
      <w:pPr>
        <w:pStyle w:val="Corpodotexto"/>
        <w:spacing w:lineRule="auto" w:line="240" w:before="57" w:after="57"/>
        <w:ind w:left="0" w:right="0" w:hanging="0"/>
        <w:rPr>
          <w:rFonts w:ascii="Arial" w:hAnsi="Arial" w:eastAsia="Arial Unicode MS" w:cs="Arial"/>
          <w:b w:val="false"/>
          <w:b w:val="false"/>
          <w:bCs w:val="false"/>
          <w:color w:val="auto"/>
          <w:kern w:val="0"/>
          <w:sz w:val="22"/>
          <w:szCs w:val="22"/>
          <w:lang w:val="pt-PT" w:eastAsia="en-US" w:bidi="ar-SA"/>
        </w:rPr>
      </w:pPr>
      <w:r>
        <w:rPr>
          <w:rFonts w:eastAsia="Arial Unicode MS" w:cs="Arial"/>
          <w:b/>
          <w:bCs/>
          <w:color w:val="auto"/>
          <w:kern w:val="0"/>
          <w:sz w:val="22"/>
          <w:szCs w:val="22"/>
          <w:lang w:val="pt-PT" w:eastAsia="en-US" w:bidi="ar-SA"/>
        </w:rPr>
        <w:t>1.1.5.1</w:t>
      </w:r>
      <w:r>
        <w:rPr>
          <w:rFonts w:eastAsia="Arial Unicode MS" w:cs="Arial"/>
          <w:b w:val="false"/>
          <w:bCs w:val="false"/>
          <w:color w:val="auto"/>
          <w:kern w:val="0"/>
          <w:sz w:val="22"/>
          <w:szCs w:val="22"/>
          <w:lang w:val="pt-PT" w:eastAsia="en-US" w:bidi="ar-SA"/>
        </w:rPr>
        <w:t xml:space="preserve"> A vigência do contrato se inicia com a assinatura do contrato e é de 180 (cento e oitenta) dias contados a partir do término do prazo de execução.</w:t>
      </w:r>
    </w:p>
    <w:p>
      <w:pPr>
        <w:pStyle w:val="Corpodotexto"/>
        <w:spacing w:lineRule="auto" w:line="240" w:before="57" w:after="57"/>
        <w:ind w:left="0" w:right="0" w:hanging="0"/>
        <w:rPr>
          <w:rFonts w:ascii="Arial" w:hAnsi="Arial" w:eastAsia="Arial Unicode MS" w:cs="Arial"/>
          <w:b w:val="false"/>
          <w:b w:val="false"/>
          <w:bCs w:val="false"/>
          <w:color w:val="auto"/>
          <w:kern w:val="0"/>
          <w:sz w:val="22"/>
          <w:szCs w:val="22"/>
          <w:lang w:val="pt-PT" w:eastAsia="en-US" w:bidi="ar-SA"/>
        </w:rPr>
      </w:pPr>
      <w:r>
        <w:rPr>
          <w:rFonts w:eastAsia="Arial Unicode MS" w:cs="Arial"/>
          <w:b/>
          <w:bCs/>
          <w:color w:val="auto"/>
          <w:kern w:val="0"/>
          <w:sz w:val="22"/>
          <w:szCs w:val="22"/>
          <w:lang w:val="pt-PT" w:eastAsia="en-US" w:bidi="ar-SA"/>
        </w:rPr>
        <w:t>1.1.5.2</w:t>
      </w:r>
      <w:r>
        <w:rPr>
          <w:rFonts w:eastAsia="Arial Unicode MS" w:cs="Arial"/>
          <w:b w:val="false"/>
          <w:bCs w:val="false"/>
          <w:color w:val="auto"/>
          <w:kern w:val="0"/>
          <w:sz w:val="22"/>
          <w:szCs w:val="22"/>
          <w:lang w:val="pt-PT" w:eastAsia="en-US" w:bidi="ar-SA"/>
        </w:rPr>
        <w:t xml:space="preserve"> O prazo de execução do contrato é de 30 (trinta) dias, contados a partir da data estabelecida na Ordem de Serviço.</w:t>
      </w:r>
    </w:p>
    <w:p>
      <w:pPr>
        <w:pStyle w:val="Corpodotexto"/>
        <w:spacing w:lineRule="auto" w:line="240" w:before="57" w:after="57"/>
        <w:ind w:left="0" w:right="0" w:hanging="0"/>
        <w:rPr/>
      </w:pPr>
      <w:r>
        <w:rPr/>
      </w:r>
    </w:p>
    <w:p>
      <w:pPr>
        <w:pStyle w:val="Ttulo12"/>
        <w:numPr>
          <w:ilvl w:val="2"/>
          <w:numId w:val="1"/>
        </w:numPr>
        <w:ind w:left="360" w:right="0" w:hanging="360"/>
        <w:rPr>
          <w:sz w:val="22"/>
          <w:szCs w:val="22"/>
        </w:rPr>
      </w:pPr>
      <w:bookmarkStart w:id="12" w:name="__RefHeading___Toc7366_3496517312"/>
      <w:bookmarkEnd w:id="12"/>
      <w:r>
        <w:rPr>
          <w:sz w:val="22"/>
          <w:szCs w:val="22"/>
        </w:rPr>
        <w:t>NATUREZA DO OBJETO</w:t>
      </w:r>
    </w:p>
    <w:p>
      <w:pPr>
        <w:pStyle w:val="Corpodotexto"/>
        <w:spacing w:before="0" w:after="240"/>
        <w:ind w:left="113" w:right="113" w:hanging="0"/>
        <w:rPr/>
      </w:pPr>
      <w:r>
        <w:rPr>
          <w:lang w:val="pt-BR"/>
        </w:rPr>
        <w:t xml:space="preserve">O objeto a ser licitado é considerado como </w:t>
      </w:r>
      <w:r>
        <w:rPr>
          <w:rFonts w:eastAsia="Arial Unicode MS" w:cs="Arial"/>
          <w:b/>
          <w:color w:val="auto"/>
          <w:kern w:val="0"/>
          <w:sz w:val="22"/>
          <w:szCs w:val="22"/>
          <w:lang w:val="pt-BR" w:eastAsia="en-US" w:bidi="ar-SA"/>
        </w:rPr>
        <w:t>Serviço</w:t>
      </w:r>
      <w:r>
        <w:rPr>
          <w:b/>
          <w:lang w:val="pt-BR"/>
        </w:rPr>
        <w:t xml:space="preserve"> de Engenharia.</w:t>
      </w:r>
    </w:p>
    <w:p>
      <w:pPr>
        <w:pStyle w:val="Corpodotexto"/>
        <w:ind w:left="0" w:right="0" w:hanging="0"/>
        <w:rPr/>
      </w:pPr>
      <w:r>
        <w:rPr/>
      </w:r>
    </w:p>
    <w:p>
      <w:pPr>
        <w:pStyle w:val="Corpodotexto"/>
        <w:ind w:left="720" w:right="0" w:hanging="360"/>
        <w:rPr/>
      </w:pPr>
      <w:r>
        <w:rPr/>
      </w:r>
    </w:p>
    <w:p>
      <w:pPr>
        <w:pStyle w:val="Ttulo12"/>
        <w:numPr>
          <w:ilvl w:val="0"/>
          <w:numId w:val="1"/>
        </w:numPr>
        <w:tabs>
          <w:tab w:val="clear" w:pos="720"/>
          <w:tab w:val="left" w:pos="567" w:leader="none"/>
        </w:tabs>
        <w:spacing w:before="240" w:after="240"/>
        <w:ind w:left="567" w:right="0" w:hanging="567"/>
        <w:rPr/>
      </w:pPr>
      <w:bookmarkStart w:id="13" w:name="__RefHeading___Toc8233_3024895937"/>
      <w:bookmarkStart w:id="14" w:name="_Toc117601084"/>
      <w:bookmarkStart w:id="15" w:name="_Toc117502335"/>
      <w:bookmarkStart w:id="16" w:name="_Toc117502241"/>
      <w:bookmarkStart w:id="17" w:name="_Toc163657375"/>
      <w:bookmarkEnd w:id="13"/>
      <w:r>
        <w:rPr/>
        <w:t>IDENTIFICAÇÃO DA EQUIPE</w:t>
      </w:r>
      <w:bookmarkEnd w:id="14"/>
      <w:bookmarkEnd w:id="15"/>
      <w:bookmarkEnd w:id="16"/>
      <w:bookmarkEnd w:id="17"/>
    </w:p>
    <w:p>
      <w:pPr>
        <w:pStyle w:val="Corpodotexto"/>
        <w:spacing w:before="0" w:after="240"/>
        <w:ind w:left="0" w:right="0" w:hanging="0"/>
        <w:rPr/>
      </w:pPr>
      <w:r>
        <w:rPr/>
        <w:tab/>
        <w:t>Este Termo de Referência foi elaborado pela Secretaria do Estado da Saúde (SESA) por meio de seus profissionais técnicos</w:t>
      </w:r>
    </w:p>
    <w:p>
      <w:pPr>
        <w:pStyle w:val="Ttulo12"/>
        <w:numPr>
          <w:ilvl w:val="1"/>
          <w:numId w:val="1"/>
        </w:numPr>
        <w:ind w:left="360" w:right="0" w:hanging="360"/>
        <w:rPr>
          <w:sz w:val="22"/>
          <w:szCs w:val="22"/>
        </w:rPr>
      </w:pPr>
      <w:bookmarkStart w:id="18" w:name="__RefHeading___Toc8235_3024895937"/>
      <w:bookmarkStart w:id="19" w:name="_Toc163657376"/>
      <w:bookmarkStart w:id="20" w:name="_Toc117601085"/>
      <w:bookmarkStart w:id="21" w:name="_Toc117502336"/>
      <w:bookmarkStart w:id="22" w:name="_Toc117502242"/>
      <w:bookmarkEnd w:id="18"/>
      <w:r>
        <w:rPr>
          <w:sz w:val="22"/>
          <w:szCs w:val="22"/>
        </w:rPr>
        <w:t>APROVAÇÃO DO TERMO DE REFERÊNCIA P</w:t>
      </w:r>
      <w:bookmarkEnd w:id="20"/>
      <w:bookmarkEnd w:id="21"/>
      <w:bookmarkEnd w:id="22"/>
      <w:r>
        <w:rPr>
          <w:sz w:val="22"/>
          <w:szCs w:val="22"/>
        </w:rPr>
        <w:t>ELA AUTORIDADE COMPETENTE</w:t>
      </w:r>
      <w:bookmarkEnd w:id="19"/>
      <w:r>
        <w:rPr>
          <w:sz w:val="22"/>
          <w:szCs w:val="22"/>
        </w:rPr>
        <w:t xml:space="preserve"> </w:t>
      </w:r>
    </w:p>
    <w:p>
      <w:pPr>
        <w:pStyle w:val="Ttulo12"/>
        <w:numPr>
          <w:ilvl w:val="0"/>
          <w:numId w:val="0"/>
        </w:numPr>
        <w:ind w:left="1263" w:right="0" w:hanging="0"/>
        <w:rPr>
          <w:sz w:val="22"/>
          <w:szCs w:val="22"/>
        </w:rPr>
      </w:pPr>
      <w:r>
        <w:rPr>
          <w:sz w:val="22"/>
          <w:szCs w:val="22"/>
        </w:rPr>
      </w:r>
    </w:p>
    <w:p>
      <w:pPr>
        <w:pStyle w:val="Corpodotexto"/>
        <w:spacing w:lineRule="auto" w:line="276"/>
        <w:ind w:left="113" w:right="113" w:firstLine="709"/>
        <w:rPr>
          <w:i/>
          <w:i/>
        </w:rPr>
      </w:pPr>
      <w:r>
        <w:rPr>
          <w:i/>
        </w:rPr>
        <w:t>(Assinatura eletrônica)</w:t>
      </w:r>
    </w:p>
    <w:p>
      <w:pPr>
        <w:pStyle w:val="Corpodotexto"/>
        <w:spacing w:lineRule="auto" w:line="276"/>
        <w:ind w:left="113" w:right="113" w:firstLine="709"/>
        <w:rPr/>
      </w:pPr>
      <w:r>
        <w:rPr>
          <w:color w:val="auto"/>
        </w:rPr>
        <w:t xml:space="preserve">Nome: </w:t>
      </w:r>
      <w:r>
        <w:rPr>
          <w:rStyle w:val="Strong"/>
          <w:rFonts w:eastAsia="Calibri" w:cs="Arial" w:ascii="Arial;Helvetica;sans-serif" w:hAnsi="Arial;Helvetica;sans-serif"/>
          <w:b w:val="false"/>
          <w:bCs/>
          <w:i w:val="false"/>
          <w:caps w:val="false"/>
          <w:smallCaps w:val="false"/>
          <w:color w:val="000000"/>
          <w:spacing w:val="0"/>
          <w:kern w:val="0"/>
          <w:sz w:val="21"/>
          <w:szCs w:val="22"/>
          <w:shd w:fill="auto" w:val="clear"/>
          <w:lang w:val="pt-PT" w:eastAsia="en-US" w:bidi="ar-SA"/>
        </w:rPr>
        <w:t>Carlos Alberto Gebrim Preto (Beto Preto)</w:t>
      </w:r>
    </w:p>
    <w:p>
      <w:pPr>
        <w:pStyle w:val="Corpodotexto"/>
        <w:spacing w:lineRule="auto" w:line="276"/>
        <w:ind w:left="113" w:right="113" w:firstLine="709"/>
        <w:rPr/>
      </w:pPr>
      <w:r>
        <w:rPr/>
        <w:t>Cargo: Secretário de Estado da Saúde</w:t>
      </w:r>
    </w:p>
    <w:p>
      <w:pPr>
        <w:pStyle w:val="Corpodotexto"/>
        <w:spacing w:lineRule="auto" w:line="276"/>
        <w:ind w:left="113" w:right="113" w:firstLine="709"/>
        <w:rPr/>
      </w:pPr>
      <w:r>
        <w:rPr/>
        <w:t>Fone:</w:t>
      </w:r>
      <w:r>
        <w:rPr>
          <w:color w:val="auto"/>
        </w:rPr>
        <w:t xml:space="preserve"> </w:t>
      </w:r>
      <w:r>
        <w:rPr>
          <w:rFonts w:ascii="Arial;Helvetica;sans-serif" w:hAnsi="Arial;Helvetica;sans-serif"/>
          <w:b w:val="false"/>
          <w:i w:val="false"/>
          <w:caps w:val="false"/>
          <w:smallCaps w:val="false"/>
          <w:color w:val="auto"/>
          <w:spacing w:val="0"/>
          <w:sz w:val="21"/>
        </w:rPr>
        <w:t>(41) 3330-4300 e 3330-4420</w:t>
      </w:r>
      <w:r>
        <w:rPr>
          <w:color w:val="auto"/>
        </w:rPr>
        <w:t xml:space="preserve"> </w:t>
      </w:r>
    </w:p>
    <w:p>
      <w:pPr>
        <w:pStyle w:val="Normal"/>
        <w:spacing w:lineRule="auto" w:line="240"/>
        <w:rPr/>
      </w:pPr>
      <w:r>
        <w:rPr/>
        <w:t xml:space="preserve"> </w:t>
      </w:r>
    </w:p>
    <w:p>
      <w:pPr>
        <w:pStyle w:val="Ttulo12"/>
        <w:numPr>
          <w:ilvl w:val="1"/>
          <w:numId w:val="1"/>
        </w:numPr>
        <w:ind w:left="360" w:right="0" w:hanging="360"/>
        <w:rPr>
          <w:sz w:val="22"/>
          <w:szCs w:val="22"/>
        </w:rPr>
      </w:pPr>
      <w:bookmarkStart w:id="23" w:name="__RefHeading___Toc8237_3024895937"/>
      <w:bookmarkStart w:id="24" w:name="_Toc163657377"/>
      <w:bookmarkEnd w:id="23"/>
      <w:r>
        <w:rPr>
          <w:sz w:val="22"/>
          <w:szCs w:val="22"/>
        </w:rPr>
        <w:t>CORPO TÉCNICO SESA</w:t>
      </w:r>
      <w:bookmarkEnd w:id="24"/>
    </w:p>
    <w:p>
      <w:pPr>
        <w:pStyle w:val="Ttulo12"/>
        <w:numPr>
          <w:ilvl w:val="0"/>
          <w:numId w:val="0"/>
        </w:numPr>
        <w:ind w:left="1263" w:right="0" w:hanging="0"/>
        <w:rPr>
          <w:sz w:val="22"/>
          <w:szCs w:val="22"/>
        </w:rPr>
      </w:pPr>
      <w:r>
        <w:rPr>
          <w:sz w:val="22"/>
          <w:szCs w:val="22"/>
        </w:rPr>
      </w:r>
    </w:p>
    <w:p>
      <w:pPr>
        <w:pStyle w:val="Ttulo12"/>
        <w:numPr>
          <w:ilvl w:val="0"/>
          <w:numId w:val="0"/>
        </w:numPr>
        <w:ind w:left="0" w:right="0" w:hanging="0"/>
        <w:rPr>
          <w:sz w:val="22"/>
          <w:szCs w:val="22"/>
        </w:rPr>
      </w:pPr>
      <w:bookmarkStart w:id="25" w:name="__RefHeading___Toc7368_3496517312"/>
      <w:bookmarkEnd w:id="25"/>
      <w:r>
        <w:rPr>
          <w:sz w:val="22"/>
          <w:szCs w:val="22"/>
        </w:rPr>
        <w:t>2.2.3 CIÊNCIA E ANUÊNCIA</w:t>
      </w:r>
    </w:p>
    <w:p>
      <w:pPr>
        <w:pStyle w:val="Corpodotexto"/>
        <w:spacing w:lineRule="auto" w:line="276"/>
        <w:ind w:left="113" w:right="113" w:firstLine="709"/>
        <w:rPr>
          <w:i/>
          <w:i/>
        </w:rPr>
      </w:pPr>
      <w:r>
        <w:rPr>
          <w:i/>
        </w:rPr>
      </w:r>
    </w:p>
    <w:p>
      <w:pPr>
        <w:pStyle w:val="Corpodotexto"/>
        <w:spacing w:lineRule="auto" w:line="276"/>
        <w:ind w:left="113" w:right="113" w:firstLine="709"/>
        <w:rPr>
          <w:i/>
          <w:i/>
        </w:rPr>
      </w:pPr>
      <w:r>
        <w:rPr>
          <w:i/>
        </w:rPr>
        <w:t>(Assinatura eletrônica)</w:t>
      </w:r>
    </w:p>
    <w:p>
      <w:pPr>
        <w:pStyle w:val="Corpodotexto"/>
        <w:spacing w:lineRule="auto" w:line="276"/>
        <w:ind w:left="113" w:right="113" w:firstLine="709"/>
        <w:rPr/>
      </w:pPr>
      <w:r>
        <w:rPr/>
        <w:t xml:space="preserve">Nome: Marianna do Rocio Cardoso </w:t>
      </w:r>
    </w:p>
    <w:p>
      <w:pPr>
        <w:pStyle w:val="Corpodotexto"/>
        <w:spacing w:lineRule="auto" w:line="276"/>
        <w:ind w:left="113" w:right="113" w:firstLine="709"/>
        <w:rPr/>
      </w:pPr>
      <w:r>
        <w:rPr/>
        <w:t xml:space="preserve">Cargo: Engenheira Civil – </w:t>
      </w:r>
      <w:r>
        <w:rPr>
          <w:rFonts w:eastAsia="Arial Unicode MS" w:cs="Arial"/>
          <w:color w:val="auto"/>
          <w:kern w:val="0"/>
          <w:sz w:val="22"/>
          <w:szCs w:val="22"/>
          <w:lang w:val="pt-PT" w:eastAsia="en-US" w:bidi="ar-SA"/>
        </w:rPr>
        <w:t xml:space="preserve">Diretora - </w:t>
      </w:r>
      <w:r>
        <w:rPr>
          <w:shd w:fill="auto" w:val="clear"/>
        </w:rPr>
        <w:t>CREA/PR: 152.559/D</w:t>
      </w:r>
    </w:p>
    <w:p>
      <w:pPr>
        <w:pStyle w:val="Corpodotexto"/>
        <w:spacing w:lineRule="auto" w:line="240" w:before="114" w:after="114"/>
        <w:ind w:left="113" w:right="113" w:firstLine="709"/>
        <w:rPr/>
      </w:pPr>
      <w:r>
        <w:rPr/>
        <w:t xml:space="preserve">E-mail: marianna.cardoso@sesa.pr.gov.br                                                                                       </w:t>
      </w:r>
    </w:p>
    <w:p>
      <w:pPr>
        <w:pStyle w:val="Corpodotexto"/>
        <w:spacing w:lineRule="auto" w:line="276" w:before="0" w:after="69"/>
        <w:ind w:left="113" w:right="113" w:firstLine="709"/>
        <w:rPr>
          <w:shd w:fill="auto" w:val="clear"/>
        </w:rPr>
      </w:pPr>
      <w:r>
        <w:rPr>
          <w:shd w:fill="auto" w:val="clear"/>
        </w:rPr>
        <w:t>Fone: (41) 3330-4411</w:t>
      </w:r>
    </w:p>
    <w:p>
      <w:pPr>
        <w:pStyle w:val="Corpodotexto"/>
        <w:spacing w:lineRule="auto" w:line="240"/>
        <w:ind w:left="113" w:right="113" w:firstLine="709"/>
        <w:rPr>
          <w:shd w:fill="auto" w:val="clear"/>
        </w:rPr>
      </w:pPr>
      <w:r>
        <w:rPr>
          <w:shd w:fill="auto" w:val="clear"/>
        </w:rPr>
      </w:r>
    </w:p>
    <w:p>
      <w:pPr>
        <w:pStyle w:val="Ttulo12"/>
        <w:numPr>
          <w:ilvl w:val="0"/>
          <w:numId w:val="0"/>
        </w:numPr>
        <w:spacing w:lineRule="auto" w:line="240"/>
        <w:ind w:left="0" w:right="0" w:hanging="0"/>
        <w:rPr>
          <w:shd w:fill="auto" w:val="clear"/>
        </w:rPr>
      </w:pPr>
      <w:bookmarkStart w:id="26" w:name="__RefHeading___Toc7370_3496517312"/>
      <w:bookmarkEnd w:id="26"/>
      <w:r>
        <w:rPr>
          <w:sz w:val="22"/>
          <w:szCs w:val="22"/>
          <w:shd w:fill="auto" w:val="clear"/>
        </w:rPr>
        <w:t xml:space="preserve">2.2.3 </w:t>
      </w:r>
      <w:r>
        <w:rPr>
          <w:rFonts w:eastAsia="Arial" w:cs="Arial"/>
          <w:b/>
          <w:bCs/>
          <w:color w:val="000000"/>
          <w:kern w:val="0"/>
          <w:sz w:val="22"/>
          <w:szCs w:val="22"/>
          <w:shd w:fill="auto" w:val="clear"/>
          <w:lang w:val="pt-PT" w:eastAsia="en-US" w:bidi="ar-SA"/>
        </w:rPr>
        <w:t>RESPONSÁVEL PELA ELABORAÇÃO DO TERMO DE REFERÊNCIA</w:t>
      </w:r>
    </w:p>
    <w:p>
      <w:pPr>
        <w:pStyle w:val="Corpodotexto"/>
        <w:spacing w:lineRule="auto" w:line="240"/>
        <w:ind w:left="113" w:right="113" w:firstLine="709"/>
        <w:rPr>
          <w:shd w:fill="auto" w:val="clear"/>
        </w:rPr>
      </w:pPr>
      <w:r>
        <w:rPr>
          <w:shd w:fill="auto" w:val="clear"/>
        </w:rPr>
      </w:r>
    </w:p>
    <w:p>
      <w:pPr>
        <w:pStyle w:val="Corpodotexto"/>
        <w:spacing w:lineRule="auto" w:line="276"/>
        <w:ind w:left="113" w:right="113" w:firstLine="709"/>
        <w:rPr>
          <w:i/>
          <w:i/>
        </w:rPr>
      </w:pPr>
      <w:r>
        <w:rPr>
          <w:i/>
        </w:rPr>
        <w:t>(Assinatura eletrônica)</w:t>
      </w:r>
    </w:p>
    <w:p>
      <w:pPr>
        <w:pStyle w:val="Corpodotexto"/>
        <w:spacing w:lineRule="auto" w:line="276"/>
        <w:ind w:left="113" w:right="113" w:firstLine="709"/>
        <w:rPr/>
      </w:pPr>
      <w:r>
        <w:rPr/>
        <w:t>Nome: Luciano</w:t>
      </w:r>
      <w:r>
        <w:rPr>
          <w:rFonts w:eastAsia="Arial Unicode MS" w:cs="Arial"/>
          <w:color w:val="auto"/>
          <w:kern w:val="0"/>
          <w:sz w:val="22"/>
          <w:szCs w:val="22"/>
          <w:lang w:val="pt-PT" w:eastAsia="en-US" w:bidi="ar-SA"/>
        </w:rPr>
        <w:t xml:space="preserve"> Fernando da Rosa</w:t>
      </w:r>
    </w:p>
    <w:p>
      <w:pPr>
        <w:pStyle w:val="Corpodotexto"/>
        <w:spacing w:lineRule="auto" w:line="276"/>
        <w:ind w:left="113" w:right="113" w:firstLine="709"/>
        <w:rPr/>
      </w:pPr>
      <w:r>
        <w:rPr>
          <w:rFonts w:eastAsia="Arial Unicode MS" w:cs="Arial"/>
          <w:color w:val="auto"/>
          <w:kern w:val="0"/>
          <w:sz w:val="22"/>
          <w:szCs w:val="22"/>
          <w:lang w:val="pt-PT" w:eastAsia="en-US" w:bidi="ar-SA"/>
        </w:rPr>
        <w:t>Função</w:t>
      </w:r>
      <w:r>
        <w:rPr/>
        <w:t xml:space="preserve">: Engenheiro </w:t>
      </w:r>
      <w:r>
        <w:rPr>
          <w:rFonts w:eastAsia="Arial Unicode MS" w:cs="Arial"/>
          <w:color w:val="auto"/>
          <w:kern w:val="0"/>
          <w:sz w:val="22"/>
          <w:szCs w:val="22"/>
          <w:lang w:val="pt-PT" w:eastAsia="en-US" w:bidi="ar-SA"/>
        </w:rPr>
        <w:t>Eletricista</w:t>
      </w:r>
      <w:r>
        <w:rPr/>
        <w:t xml:space="preserve">  - </w:t>
      </w:r>
      <w:r>
        <w:rPr>
          <w:shd w:fill="auto" w:val="clear"/>
        </w:rPr>
        <w:t xml:space="preserve">CREA/PR: </w:t>
      </w:r>
      <w:r>
        <w:rPr>
          <w:rFonts w:eastAsia="Arial Unicode MS" w:cs="Arial"/>
          <w:color w:val="000000"/>
          <w:kern w:val="0"/>
          <w:sz w:val="22"/>
          <w:szCs w:val="22"/>
          <w:shd w:fill="auto" w:val="clear"/>
          <w:lang w:val="pt-PT" w:eastAsia="en-US" w:bidi="ar-SA"/>
        </w:rPr>
        <w:t>156.436</w:t>
      </w:r>
      <w:r>
        <w:rPr>
          <w:color w:val="000000"/>
          <w:shd w:fill="auto" w:val="clear"/>
        </w:rPr>
        <w:t>/D</w:t>
      </w:r>
    </w:p>
    <w:p>
      <w:pPr>
        <w:pStyle w:val="Normal"/>
        <w:spacing w:before="0" w:after="43"/>
        <w:rPr/>
      </w:pPr>
      <w:r>
        <w:rPr/>
        <w:t xml:space="preserve">                </w:t>
      </w:r>
      <w:r>
        <w:rPr>
          <w:rFonts w:eastAsia="Arial Unicode MS" w:cs="Arial" w:ascii="Arial" w:hAnsi="Arial"/>
          <w:color w:val="auto"/>
          <w:kern w:val="0"/>
          <w:sz w:val="22"/>
          <w:szCs w:val="22"/>
          <w:lang w:val="pt-PT" w:eastAsia="en-US" w:bidi="ar-SA"/>
        </w:rPr>
        <w:t xml:space="preserve">E-mail: luciano.rosa@sesa.pr.gov.br        </w:t>
      </w:r>
    </w:p>
    <w:p>
      <w:pPr>
        <w:pStyle w:val="Corpodotexto"/>
        <w:spacing w:lineRule="auto" w:line="276"/>
        <w:ind w:left="113" w:right="113" w:firstLine="709"/>
        <w:rPr>
          <w:i/>
          <w:i/>
        </w:rPr>
      </w:pPr>
      <w:r>
        <w:rPr>
          <w:i/>
        </w:rPr>
      </w:r>
    </w:p>
    <w:p>
      <w:pPr>
        <w:pStyle w:val="Ttulo12"/>
        <w:numPr>
          <w:ilvl w:val="0"/>
          <w:numId w:val="1"/>
        </w:numPr>
        <w:tabs>
          <w:tab w:val="clear" w:pos="720"/>
          <w:tab w:val="left" w:pos="567" w:leader="none"/>
        </w:tabs>
        <w:spacing w:lineRule="auto" w:line="360" w:before="240" w:after="240"/>
        <w:ind w:left="567" w:right="0" w:hanging="567"/>
        <w:rPr>
          <w:rFonts w:eastAsia="Arial" w:cs="Arial"/>
          <w:b/>
          <w:b/>
          <w:bCs/>
          <w:color w:val="auto"/>
          <w:kern w:val="0"/>
          <w:sz w:val="24"/>
          <w:szCs w:val="24"/>
          <w:lang w:val="pt-PT" w:eastAsia="en-US" w:bidi="ar-SA"/>
        </w:rPr>
      </w:pPr>
      <w:bookmarkStart w:id="27" w:name="__RefHeading___Toc8239_3024895937"/>
      <w:bookmarkStart w:id="28" w:name="_Toc117601084_Copia_1"/>
      <w:bookmarkStart w:id="29" w:name="_Toc117502335_Copia_1"/>
      <w:bookmarkStart w:id="30" w:name="_Toc117502241_Copia_1"/>
      <w:bookmarkStart w:id="31" w:name="_Toc155954001_Copia_1"/>
      <w:bookmarkStart w:id="32" w:name="_Toc163657378"/>
      <w:bookmarkEnd w:id="27"/>
      <w:r>
        <w:rPr>
          <w:rFonts w:eastAsia="Arial" w:cs="Arial"/>
          <w:b/>
          <w:bCs/>
          <w:color w:val="auto"/>
          <w:kern w:val="0"/>
          <w:sz w:val="24"/>
          <w:szCs w:val="24"/>
          <w:lang w:val="pt-PT" w:eastAsia="en-US" w:bidi="ar-SA"/>
        </w:rPr>
        <w:t>FUNDAMENTAÇÃO DA CONTRATAÇÃO</w:t>
      </w:r>
      <w:bookmarkEnd w:id="28"/>
      <w:bookmarkEnd w:id="29"/>
      <w:bookmarkEnd w:id="30"/>
      <w:bookmarkEnd w:id="31"/>
      <w:bookmarkEnd w:id="32"/>
    </w:p>
    <w:p>
      <w:pPr>
        <w:pStyle w:val="Normal"/>
        <w:spacing w:lineRule="auto" w:line="360"/>
        <w:jc w:val="both"/>
        <w:rPr/>
      </w:pPr>
      <w:r>
        <w:rPr>
          <w:rFonts w:eastAsia="Arial Unicode MS" w:cs="Arial" w:ascii="Arial" w:hAnsi="Arial"/>
          <w:lang w:val="pt-PT"/>
        </w:rPr>
        <w:t>Considerando a necessidade da contratação este Estudo Técnico Preliminar será norteado pela motivação do apresentada pela unidade demandante no Documento Formalização de Demanda – DFD, no presente protocolo na mov. 16:</w:t>
      </w:r>
    </w:p>
    <w:p>
      <w:pPr>
        <w:pStyle w:val="Normal"/>
        <w:widowControl/>
        <w:suppressAutoHyphens w:val="true"/>
        <w:overflowPunct w:val="true"/>
        <w:bidi w:val="0"/>
        <w:spacing w:lineRule="auto" w:line="360" w:before="0" w:after="100"/>
        <w:ind w:left="964" w:right="0" w:hanging="0"/>
        <w:jc w:val="both"/>
        <w:rPr>
          <w:i/>
          <w:i/>
          <w:iCs/>
        </w:rPr>
      </w:pPr>
      <w:r>
        <w:rPr>
          <w:rFonts w:eastAsia="Arial Unicode MS" w:cs="Arial" w:ascii="Arial" w:hAnsi="Arial"/>
          <w:i/>
          <w:iCs/>
          <w:lang w:val="pt-PT"/>
        </w:rPr>
        <w:tab/>
        <w:t>O setor possui um total de 55 equipamentos utilizados para armazenamento, congelamento e processamento de aproximadamente 300 hemocomponentes diariamente. Equipamentos como blast freezer, centrífugas refrigeradas e extratores automatizados são críticos e permanecem ligados durante a rotina de processamento, exigindo uma maior capacidade elétrica do quadro. Os equipamentos de congelamento rápido (blast freezer) do setor não podem ser ligados ao mesmo tempo devido à limitação da chave de energia, como consequência, aproximadamente 40% da produção de plasma fresco apta para congelamento está sendo descartada (motivos intrínsecos ao processo).</w:t>
      </w:r>
    </w:p>
    <w:p>
      <w:pPr>
        <w:pStyle w:val="Normal"/>
        <w:widowControl/>
        <w:suppressAutoHyphens w:val="true"/>
        <w:overflowPunct w:val="true"/>
        <w:bidi w:val="0"/>
        <w:spacing w:lineRule="auto" w:line="360" w:before="0" w:after="100"/>
        <w:ind w:left="964" w:right="0" w:hanging="0"/>
        <w:jc w:val="both"/>
        <w:rPr>
          <w:i/>
          <w:i/>
          <w:iCs/>
        </w:rPr>
      </w:pPr>
      <w:r>
        <w:rPr>
          <w:rFonts w:eastAsia="Arial Unicode MS" w:cs="Arial" w:ascii="Arial" w:hAnsi="Arial"/>
          <w:i/>
          <w:iCs/>
          <w:lang w:val="pt-PT"/>
        </w:rPr>
        <w:tab/>
        <w:t>Os extratores automatizados Compomat G5 Plus, instalados em agosto de 2023, estão apresentando problemas recorrentes devido a variações repentinas na tensão ou na frequência da corrente elétrica. Essas variações têm causado a produção de hemocomponentes não conformes em relação às normas vigentes, especialmente no que diz respeito ao volume, substâncias de preservação e contaminação por hemácias. Esclarecemos que é de extrema urgência e necessidade, pois corremos os riscos de descontinuarmos o envio de plasma para produção industrial, sobrecarregar equipamentos de congelamento, danificar equipamentos próprios e em comodotato e principalmente comprometer a qualidade e a segurança transfusional.</w:t>
      </w:r>
    </w:p>
    <w:p>
      <w:pPr>
        <w:pStyle w:val="Normal"/>
        <w:widowControl/>
        <w:suppressAutoHyphens w:val="true"/>
        <w:overflowPunct w:val="true"/>
        <w:bidi w:val="0"/>
        <w:spacing w:lineRule="auto" w:line="360" w:before="0" w:after="100"/>
        <w:ind w:left="964" w:right="0" w:hanging="0"/>
        <w:jc w:val="both"/>
        <w:rPr>
          <w:i/>
          <w:i/>
          <w:iCs/>
        </w:rPr>
      </w:pPr>
      <w:r>
        <w:rPr>
          <w:rFonts w:eastAsia="Arial Unicode MS" w:cs="Arial" w:ascii="Arial" w:hAnsi="Arial"/>
          <w:i/>
          <w:iCs/>
          <w:lang w:val="pt-PT"/>
        </w:rPr>
        <w:tab/>
        <w:t>Por todo o exposto, solicitamos providências para aquisição/contratação dos itens relacionados acima.</w:t>
      </w:r>
    </w:p>
    <w:p>
      <w:pPr>
        <w:pStyle w:val="Normal"/>
        <w:spacing w:lineRule="auto" w:line="360"/>
        <w:jc w:val="both"/>
        <w:rPr>
          <w:rFonts w:ascii="Arial" w:hAnsi="Arial" w:eastAsia="Arial Unicode MS" w:cs="Arial"/>
          <w:lang w:val="pt-PT"/>
        </w:rPr>
      </w:pPr>
      <w:r>
        <w:rPr>
          <w:rFonts w:eastAsia="Arial Unicode MS" w:cs="Arial" w:ascii="Arial" w:hAnsi="Arial"/>
          <w:lang w:val="pt-PT"/>
        </w:rPr>
      </w:r>
    </w:p>
    <w:p>
      <w:pPr>
        <w:pStyle w:val="Normal"/>
        <w:spacing w:lineRule="auto" w:line="360"/>
        <w:jc w:val="both"/>
        <w:rPr/>
      </w:pPr>
      <w:r>
        <w:rPr>
          <w:rFonts w:eastAsia="Arial Unicode MS" w:cs="Arial" w:ascii="Arial" w:hAnsi="Arial"/>
          <w:lang w:val="pt-PT"/>
        </w:rPr>
        <w:t>Além do exposto pela unidade requisitante, este setor técnico sugere pelo exposto neste protocolo e no memorando na mov. 02, que devido a complexidade e custo de manutenção dos equipamentos do presente laboratório que seja instalado equipamento de monitoramento contínuo dos parâmetros elétricos do setor.  Isso permite identificar desequilíbrios, sobrecargas ou falhas no sistema elétrico, de forma a antever eventuais problemas que podem impactar no funcionamento nos equipamentos laboratoriais</w:t>
      </w:r>
    </w:p>
    <w:p>
      <w:pPr>
        <w:pStyle w:val="Normal"/>
        <w:spacing w:lineRule="auto" w:line="360"/>
        <w:jc w:val="both"/>
        <w:rPr>
          <w:rFonts w:ascii="Arial" w:hAnsi="Arial" w:eastAsia="Arial Unicode MS" w:cs="Arial"/>
          <w:lang w:val="pt-PT"/>
        </w:rPr>
      </w:pPr>
      <w:r>
        <w:rPr>
          <w:rFonts w:eastAsia="Arial Unicode MS" w:cs="Arial" w:ascii="Arial" w:hAnsi="Arial"/>
          <w:lang w:val="pt-PT"/>
        </w:rPr>
      </w:r>
    </w:p>
    <w:p>
      <w:pPr>
        <w:pStyle w:val="Ttulo12"/>
        <w:numPr>
          <w:ilvl w:val="1"/>
          <w:numId w:val="1"/>
        </w:numPr>
        <w:spacing w:lineRule="auto" w:line="360"/>
        <w:ind w:left="360" w:right="0" w:hanging="360"/>
        <w:jc w:val="both"/>
        <w:rPr>
          <w:rFonts w:ascii="Arial" w:hAnsi="Arial" w:eastAsia="Arial Unicode MS" w:cs="Arial"/>
          <w:b/>
          <w:b/>
          <w:bCs/>
          <w:color w:val="auto"/>
          <w:kern w:val="0"/>
          <w:sz w:val="22"/>
          <w:szCs w:val="22"/>
          <w:lang w:val="pt-PT" w:eastAsia="en-US" w:bidi="ar-SA"/>
        </w:rPr>
      </w:pPr>
      <w:bookmarkStart w:id="33" w:name="__RefHeading___Toc8241_30248959371"/>
      <w:bookmarkStart w:id="34" w:name="_Toc1636573791"/>
      <w:bookmarkStart w:id="35" w:name="_Toc1532295061"/>
      <w:bookmarkStart w:id="36" w:name="_Toc1085396321"/>
      <w:bookmarkEnd w:id="33"/>
      <w:r>
        <w:rPr>
          <w:rFonts w:eastAsia="Arial Unicode MS" w:cs="Arial"/>
          <w:b/>
          <w:bCs/>
          <w:color w:val="auto"/>
          <w:kern w:val="0"/>
          <w:sz w:val="22"/>
          <w:szCs w:val="22"/>
          <w:lang w:val="pt-PT" w:eastAsia="en-US" w:bidi="ar-SA"/>
        </w:rPr>
        <w:t>J</w:t>
      </w:r>
      <w:bookmarkEnd w:id="34"/>
      <w:bookmarkEnd w:id="35"/>
      <w:bookmarkEnd w:id="36"/>
      <w:r>
        <w:rPr>
          <w:rFonts w:eastAsia="Arial Unicode MS" w:cs="Arial"/>
          <w:b/>
          <w:bCs/>
          <w:color w:val="auto"/>
          <w:kern w:val="0"/>
          <w:sz w:val="22"/>
          <w:szCs w:val="22"/>
          <w:lang w:val="pt-PT" w:eastAsia="en-US" w:bidi="ar-SA"/>
        </w:rPr>
        <w:t>USTIFICATIVA DA CLASSIFICAÇÃO DA NATUREZA DO OBJETO</w:t>
      </w:r>
    </w:p>
    <w:p>
      <w:pPr>
        <w:pStyle w:val="Normal"/>
        <w:spacing w:lineRule="auto" w:line="360"/>
        <w:jc w:val="both"/>
        <w:rPr/>
      </w:pPr>
      <w:r>
        <w:rPr>
          <w:rFonts w:eastAsia="Arial Unicode MS" w:cs="Arial" w:ascii="Arial" w:hAnsi="Arial"/>
          <w:lang w:val="pt-PT"/>
        </w:rPr>
        <w:tab/>
        <w:t>O objeto a ser licitado é considerado como Obra de Engenharia, conforme a Resolução Nº 25/2011 do Tribunal de Contas do Estado do Paraná, que dispõe sobre os conceitos de obra e de serviço de engenharia e dá outras providências tendo como anexo I a Orientação Técnica do IBRAOP OT – IBR 002/2009.</w:t>
      </w:r>
    </w:p>
    <w:p>
      <w:pPr>
        <w:pStyle w:val="Normal"/>
        <w:spacing w:lineRule="auto" w:line="360"/>
        <w:jc w:val="both"/>
        <w:rPr/>
      </w:pPr>
      <w:r>
        <w:rPr>
          <w:rFonts w:eastAsia="Arial Unicode MS" w:cs="Arial" w:ascii="Arial" w:hAnsi="Arial"/>
          <w:lang w:val="pt-PT"/>
        </w:rPr>
        <w:tab/>
        <w:t>O objeto a ser licitado é enquadrado como Obra ou Serviço de Engenharia, de acordo com os preceitos do art. 6º, inciso XII a XIV, da Lei Federal nº14.133/2021.</w:t>
      </w:r>
    </w:p>
    <w:p>
      <w:pPr>
        <w:pStyle w:val="Normal"/>
        <w:spacing w:lineRule="auto" w:line="360"/>
        <w:jc w:val="both"/>
        <w:rPr>
          <w:rFonts w:ascii="Arial" w:hAnsi="Arial" w:eastAsia="Arial Unicode MS" w:cs="Arial"/>
          <w:lang w:val="pt-PT"/>
        </w:rPr>
      </w:pPr>
      <w:r>
        <w:rPr>
          <w:rFonts w:eastAsia="Arial Unicode MS" w:cs="Arial" w:ascii="Arial" w:hAnsi="Arial"/>
          <w:lang w:val="pt-PT"/>
        </w:rPr>
      </w:r>
    </w:p>
    <w:p>
      <w:pPr>
        <w:pStyle w:val="Ttulo12"/>
        <w:numPr>
          <w:ilvl w:val="1"/>
          <w:numId w:val="1"/>
        </w:numPr>
        <w:spacing w:lineRule="auto" w:line="360"/>
        <w:ind w:left="360" w:right="0" w:hanging="360"/>
        <w:jc w:val="both"/>
        <w:rPr>
          <w:rFonts w:ascii="Arial" w:hAnsi="Arial" w:eastAsia="Arial Unicode MS" w:cs="Arial"/>
          <w:b/>
          <w:b/>
          <w:bCs/>
          <w:color w:val="auto"/>
          <w:kern w:val="0"/>
          <w:sz w:val="22"/>
          <w:szCs w:val="22"/>
          <w:lang w:val="pt-PT" w:eastAsia="en-US" w:bidi="ar-SA"/>
        </w:rPr>
      </w:pPr>
      <w:bookmarkStart w:id="37" w:name="__RefHeading___Toc8241_302489593712"/>
      <w:bookmarkStart w:id="38" w:name="_Toc16365737912"/>
      <w:bookmarkStart w:id="39" w:name="_Toc15322950612"/>
      <w:bookmarkStart w:id="40" w:name="_Toc10853963212"/>
      <w:bookmarkEnd w:id="37"/>
      <w:r>
        <w:rPr>
          <w:rFonts w:eastAsia="Arial Unicode MS" w:cs="Arial"/>
          <w:b/>
          <w:bCs/>
          <w:color w:val="auto"/>
          <w:kern w:val="0"/>
          <w:sz w:val="22"/>
          <w:szCs w:val="22"/>
          <w:lang w:val="pt-PT" w:eastAsia="en-US" w:bidi="ar-SA"/>
        </w:rPr>
        <w:t>J</w:t>
      </w:r>
      <w:bookmarkEnd w:id="38"/>
      <w:bookmarkEnd w:id="39"/>
      <w:bookmarkEnd w:id="40"/>
      <w:r>
        <w:rPr>
          <w:rFonts w:eastAsia="Arial Unicode MS" w:cs="Arial"/>
          <w:b/>
          <w:bCs/>
          <w:color w:val="auto"/>
          <w:kern w:val="0"/>
          <w:sz w:val="22"/>
          <w:szCs w:val="22"/>
          <w:lang w:val="pt-PT" w:eastAsia="en-US" w:bidi="ar-SA"/>
        </w:rPr>
        <w:t>USTIFICATIVA DA CLASSIFICAÇÃO DE SERVIÇO ESPECIAL DE ENGENHARIA</w:t>
      </w:r>
    </w:p>
    <w:p>
      <w:pPr>
        <w:pStyle w:val="Normal"/>
        <w:spacing w:lineRule="auto" w:line="360"/>
        <w:jc w:val="both"/>
        <w:rPr/>
      </w:pPr>
      <w:r>
        <w:rPr>
          <w:rFonts w:eastAsia="Arial Unicode MS" w:cs="Arial" w:ascii="Arial" w:hAnsi="Arial"/>
          <w:lang w:val="pt-PT"/>
        </w:rPr>
        <w:tab/>
        <w:t>Trata-se de um serviço de engenharia que não se encaixa em serviço comum de engenharia por ser uma solução específica para o local, portanto não é padronizável.</w:t>
      </w:r>
    </w:p>
    <w:p>
      <w:pPr>
        <w:pStyle w:val="Normal"/>
        <w:spacing w:lineRule="auto" w:line="360"/>
        <w:jc w:val="both"/>
        <w:rPr>
          <w:rFonts w:ascii="Arial" w:hAnsi="Arial" w:eastAsia="Arial Unicode MS" w:cs="Arial"/>
          <w:lang w:val="pt-PT"/>
        </w:rPr>
      </w:pPr>
      <w:r>
        <w:rPr>
          <w:rFonts w:eastAsia="Arial Unicode MS" w:cs="Arial" w:ascii="Arial" w:hAnsi="Arial"/>
          <w:lang w:val="pt-PT"/>
        </w:rPr>
      </w:r>
    </w:p>
    <w:p>
      <w:pPr>
        <w:pStyle w:val="Ttulo12"/>
        <w:numPr>
          <w:ilvl w:val="1"/>
          <w:numId w:val="1"/>
        </w:numPr>
        <w:ind w:left="360" w:right="0" w:hanging="360"/>
        <w:rPr>
          <w:sz w:val="22"/>
          <w:szCs w:val="22"/>
        </w:rPr>
      </w:pPr>
      <w:bookmarkStart w:id="41" w:name="__RefHeading___Toc8241_3024895937"/>
      <w:bookmarkStart w:id="42" w:name="_Toc163657379"/>
      <w:bookmarkStart w:id="43" w:name="_Toc153229506"/>
      <w:bookmarkStart w:id="44" w:name="_Toc108539632"/>
      <w:bookmarkEnd w:id="41"/>
      <w:r>
        <w:rPr>
          <w:sz w:val="22"/>
          <w:szCs w:val="22"/>
        </w:rPr>
        <w:t>LEGISLAÇÃO, NORMAS E REGULAMENTOS</w:t>
      </w:r>
      <w:bookmarkEnd w:id="42"/>
      <w:bookmarkEnd w:id="43"/>
      <w:bookmarkEnd w:id="44"/>
    </w:p>
    <w:p>
      <w:pPr>
        <w:pStyle w:val="Ttulo12"/>
        <w:numPr>
          <w:ilvl w:val="0"/>
          <w:numId w:val="0"/>
        </w:numPr>
        <w:ind w:left="1263" w:right="0" w:hanging="0"/>
        <w:rPr/>
      </w:pPr>
      <w:r>
        <w:rPr/>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Contratação nos termos da Lei Federal nº 14133, de 01º de abril de 2021, regulamentada pelo Decreto 10.086 de 17 de janeiro de 2022;</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A CONTRATADA será responsável pela observância de códigos, leis, decretos, regulamentos, portarias e normas federais, estaduais e municipais direta e indiretamente aplicáveis ao objeto do Contrato, inclusive por suas subcontratadas, independente da citação, especialmente;</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Instruções e resoluções dos órgãos do sistema CREA / CONFEA e do CAU;</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Código de Obras, Lei de Uso e Ocupação do Solo do município e Plano Diretor Urbano, no que couber ao objeto;</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Normas das concessionárias locais de serviços, Corpo de Bombeiros, Vigilância Sanitária, entre outros, no que couber ao objeto;</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Normas brasileiras elaboradas pela ABNT (Associação Brasileira de Normas Técnicas), regulamentadas pelo INMETRO (Instituto Nacional de Metrologia), no que couber ao objeto;</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Normas regulamentadoras do Ministério do Trabalho e Emprego – MTE;</w:t>
      </w:r>
    </w:p>
    <w:p>
      <w:pPr>
        <w:pStyle w:val="Corpodotexto"/>
        <w:widowControl/>
        <w:numPr>
          <w:ilvl w:val="0"/>
          <w:numId w:val="5"/>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ind w:left="1854" w:right="113" w:hanging="360"/>
        <w:rPr/>
      </w:pPr>
      <w:r>
        <w:rPr/>
        <w:t>Normas internacionais específicas consagradas, se necessário, no que couber ao objeto.</w:t>
      </w:r>
    </w:p>
    <w:p>
      <w:pPr>
        <w:pStyle w:val="Corpodotexto"/>
        <w:widowControl/>
        <w:numPr>
          <w:ilvl w:val="0"/>
          <w:numId w:val="0"/>
        </w:numPr>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spacing w:before="0" w:after="0"/>
        <w:ind w:left="3348" w:right="113" w:hanging="0"/>
        <w:rPr/>
      </w:pPr>
      <w:r>
        <w:rPr/>
      </w:r>
    </w:p>
    <w:p>
      <w:pPr>
        <w:pStyle w:val="Ttulo12"/>
        <w:numPr>
          <w:ilvl w:val="0"/>
          <w:numId w:val="1"/>
        </w:numPr>
        <w:tabs>
          <w:tab w:val="clear" w:pos="720"/>
          <w:tab w:val="left" w:pos="567" w:leader="none"/>
        </w:tabs>
        <w:spacing w:before="240" w:after="240"/>
        <w:ind w:left="567" w:right="0" w:hanging="567"/>
        <w:rPr/>
      </w:pPr>
      <w:bookmarkStart w:id="45" w:name="__RefHeading___Toc8243_3024895937"/>
      <w:bookmarkStart w:id="46" w:name="_Toc163657380"/>
      <w:bookmarkEnd w:id="45"/>
      <w:r>
        <w:rPr/>
        <w:t>DESCRIÇÃO DA SOLUÇÃO COMO UM TODO E VOLUME DA SOLUÇÃO DEMANDADA</w:t>
      </w:r>
      <w:bookmarkEnd w:id="46"/>
    </w:p>
    <w:p>
      <w:pPr>
        <w:pStyle w:val="Corpodotexto"/>
        <w:ind w:left="0" w:right="0" w:hanging="0"/>
        <w:rPr>
          <w:rFonts w:eastAsia="Arial MT"/>
        </w:rPr>
      </w:pPr>
      <w:r>
        <w:rPr/>
        <w:t>Instalação de um quadro de distribuição, pontos de tomada, sistema de medição contínua no quadro QD-01, para atendimento do Hemepar.</w:t>
      </w:r>
    </w:p>
    <w:p>
      <w:pPr>
        <w:pStyle w:val="Corpodotexto"/>
        <w:ind w:left="0" w:right="0" w:hanging="0"/>
        <w:rPr>
          <w:rFonts w:eastAsia="Arial MT"/>
        </w:rPr>
      </w:pPr>
      <w:r>
        <w:rPr>
          <w:rFonts w:eastAsia="Arial MT"/>
        </w:rPr>
      </w:r>
    </w:p>
    <w:p>
      <w:pPr>
        <w:pStyle w:val="Corpodotexto"/>
        <w:ind w:left="0" w:right="0" w:hanging="0"/>
        <w:rPr>
          <w:rFonts w:eastAsia="Arial MT"/>
        </w:rPr>
      </w:pPr>
      <w:r>
        <w:rPr>
          <w:rFonts w:eastAsia="Arial MT"/>
        </w:rPr>
      </w:r>
    </w:p>
    <w:p>
      <w:pPr>
        <w:pStyle w:val="Corpodotexto"/>
        <w:ind w:left="0" w:right="0" w:hanging="0"/>
        <w:rPr>
          <w:rFonts w:eastAsia="Arial MT"/>
        </w:rPr>
      </w:pPr>
      <w:r>
        <w:rPr/>
        <w:t>O serviço consiste em:</w:t>
      </w:r>
    </w:p>
    <w:p>
      <w:pPr>
        <w:pStyle w:val="Corpodotexto"/>
        <w:numPr>
          <w:ilvl w:val="0"/>
          <w:numId w:val="8"/>
        </w:numPr>
        <w:ind w:left="720" w:right="113" w:hanging="360"/>
        <w:rPr/>
      </w:pPr>
      <w:r>
        <w:rPr/>
        <w:t>Readequação do Quadro QD-01  (conforme memorial)</w:t>
      </w:r>
    </w:p>
    <w:p>
      <w:pPr>
        <w:pStyle w:val="Corpodotexto"/>
        <w:numPr>
          <w:ilvl w:val="0"/>
          <w:numId w:val="8"/>
        </w:numPr>
        <w:ind w:left="720" w:right="113" w:hanging="360"/>
        <w:rPr/>
      </w:pPr>
      <w:r>
        <w:rPr/>
        <w:t>Instalação de Multimedidor (conforme memorial)</w:t>
      </w:r>
    </w:p>
    <w:p>
      <w:pPr>
        <w:pStyle w:val="Corpodotexto"/>
        <w:numPr>
          <w:ilvl w:val="0"/>
          <w:numId w:val="8"/>
        </w:numPr>
        <w:ind w:left="720" w:right="113" w:hanging="360"/>
        <w:rPr/>
      </w:pPr>
      <w:r>
        <w:rPr/>
        <w:t>Ramal QD-01D, eletroduto e fiação (conforme memorial)</w:t>
      </w:r>
    </w:p>
    <w:p>
      <w:pPr>
        <w:pStyle w:val="Corpodotexto"/>
        <w:numPr>
          <w:ilvl w:val="0"/>
          <w:numId w:val="8"/>
        </w:numPr>
        <w:ind w:left="720" w:right="113" w:hanging="360"/>
        <w:rPr/>
      </w:pPr>
      <w:r>
        <w:rPr/>
        <w:t>Instalação de Quadro: QD-01D, incluindo dutos de subida para eletrocalha para os circuitos terminais (conforme memorial)</w:t>
      </w:r>
    </w:p>
    <w:p>
      <w:pPr>
        <w:pStyle w:val="Corpodotexto"/>
        <w:numPr>
          <w:ilvl w:val="0"/>
          <w:numId w:val="8"/>
        </w:numPr>
        <w:ind w:left="720" w:right="113" w:hanging="360"/>
        <w:rPr>
          <w:rFonts w:eastAsia="Arial MT"/>
        </w:rPr>
      </w:pPr>
      <w:r>
        <w:rPr/>
        <w:t>Circuitos terminais Quadro QD-01D, eletrocalha, eletroduto e fiação para  (conforme memorial)</w:t>
      </w:r>
    </w:p>
    <w:p>
      <w:pPr>
        <w:pStyle w:val="Corpodotexto"/>
        <w:ind w:left="0" w:right="0" w:hanging="0"/>
        <w:rPr>
          <w:rFonts w:eastAsia="Arial MT"/>
        </w:rPr>
      </w:pPr>
      <w:r>
        <w:rPr>
          <w:rFonts w:eastAsia="Arial MT"/>
        </w:rPr>
      </w:r>
    </w:p>
    <w:p>
      <w:pPr>
        <w:pStyle w:val="Ttulo12"/>
        <w:numPr>
          <w:ilvl w:val="0"/>
          <w:numId w:val="1"/>
        </w:numPr>
        <w:tabs>
          <w:tab w:val="clear" w:pos="720"/>
          <w:tab w:val="left" w:pos="567" w:leader="none"/>
        </w:tabs>
        <w:spacing w:lineRule="auto" w:line="360" w:before="240" w:after="240"/>
        <w:ind w:left="567" w:right="0" w:hanging="567"/>
        <w:rPr>
          <w:rFonts w:eastAsia="Arial" w:cs="Arial"/>
          <w:b/>
          <w:b/>
          <w:bCs/>
          <w:color w:val="auto"/>
          <w:kern w:val="0"/>
          <w:sz w:val="24"/>
          <w:szCs w:val="24"/>
          <w:lang w:val="pt-PT" w:eastAsia="en-US" w:bidi="ar-SA"/>
        </w:rPr>
      </w:pPr>
      <w:bookmarkStart w:id="47" w:name="__RefHeading___Toc8245_3024895937"/>
      <w:bookmarkStart w:id="48" w:name="_Toc163657381"/>
      <w:bookmarkStart w:id="49" w:name="_Toc108539628_Copia_1"/>
      <w:bookmarkEnd w:id="47"/>
      <w:bookmarkEnd w:id="49"/>
      <w:r>
        <w:rPr>
          <w:rFonts w:eastAsia="Arial" w:cs="Arial"/>
          <w:b/>
          <w:bCs/>
          <w:color w:val="auto"/>
          <w:kern w:val="0"/>
          <w:sz w:val="24"/>
          <w:szCs w:val="24"/>
          <w:lang w:val="pt-PT" w:eastAsia="en-US" w:bidi="ar-SA"/>
        </w:rPr>
        <w:t>REQUISITOS DA CONTRATAÇÃO</w:t>
      </w:r>
      <w:bookmarkEnd w:id="48"/>
    </w:p>
    <w:p>
      <w:pPr>
        <w:pStyle w:val="Ttulo12"/>
        <w:widowControl w:val="false"/>
        <w:numPr>
          <w:ilvl w:val="1"/>
          <w:numId w:val="1"/>
        </w:numPr>
        <w:tabs>
          <w:tab w:val="clear" w:pos="720"/>
          <w:tab w:val="left" w:pos="735" w:leader="none"/>
          <w:tab w:val="left" w:pos="847" w:leader="none"/>
        </w:tabs>
        <w:suppressAutoHyphens w:val="true"/>
        <w:overflowPunct w:val="true"/>
        <w:bidi w:val="0"/>
        <w:spacing w:lineRule="auto" w:line="240" w:before="71" w:after="240"/>
        <w:ind w:left="737" w:right="0" w:hanging="737"/>
        <w:jc w:val="left"/>
        <w:rPr>
          <w:rFonts w:eastAsia="Arial" w:cs="Arial"/>
          <w:b/>
          <w:b/>
          <w:bCs/>
          <w:color w:val="auto"/>
          <w:kern w:val="0"/>
          <w:sz w:val="22"/>
          <w:szCs w:val="22"/>
          <w:lang w:val="pt-PT" w:eastAsia="en-US" w:bidi="ar-SA"/>
        </w:rPr>
      </w:pPr>
      <w:bookmarkStart w:id="50" w:name="__RefHeading___Toc8247_3024895937"/>
      <w:bookmarkStart w:id="51" w:name="_Toc108539634"/>
      <w:bookmarkStart w:id="52" w:name="_Toc163657382"/>
      <w:bookmarkEnd w:id="50"/>
      <w:r>
        <w:rPr>
          <w:rFonts w:eastAsia="Arial" w:cs="Arial"/>
          <w:b/>
          <w:bCs/>
          <w:color w:val="auto"/>
          <w:kern w:val="0"/>
          <w:sz w:val="22"/>
          <w:szCs w:val="22"/>
          <w:lang w:val="pt-PT" w:eastAsia="en-US" w:bidi="ar-SA"/>
        </w:rPr>
        <w:t>PARTICIPAÇÃO DE CONSÓRCIO</w:t>
      </w:r>
      <w:bookmarkEnd w:id="51"/>
      <w:bookmarkEnd w:id="52"/>
    </w:p>
    <w:p>
      <w:pPr>
        <w:pStyle w:val="Corpodotexto"/>
        <w:spacing w:before="0" w:after="240"/>
        <w:ind w:left="0" w:right="0" w:hanging="0"/>
        <w:rPr/>
      </w:pPr>
      <w:r>
        <w:rPr>
          <w:b/>
        </w:rPr>
        <w:tab/>
        <w:t>Não há possibilidade de participação de consórcios</w:t>
      </w:r>
      <w:r>
        <w:rPr/>
        <w:t xml:space="preserve"> pois, do ponto de vista técnico entende-se que intervenções de reforma compreendem, em sua maioria, serviços de baixa complexidade e pequenos vultos e, desta forma, o gerenciamento a cargo de uma única empresa resulta em maior controle e concentração de responsabilidades, garantindo melhores resultados.</w:t>
      </w:r>
    </w:p>
    <w:p>
      <w:pPr>
        <w:pStyle w:val="Corpodotexto"/>
        <w:spacing w:before="0" w:after="240"/>
        <w:ind w:left="0" w:right="0" w:hanging="0"/>
        <w:rPr/>
      </w:pPr>
      <w:r>
        <w:rPr/>
      </w:r>
    </w:p>
    <w:p>
      <w:pPr>
        <w:pStyle w:val="Ttulo12"/>
        <w:numPr>
          <w:ilvl w:val="1"/>
          <w:numId w:val="1"/>
        </w:numPr>
        <w:ind w:left="360" w:right="0" w:hanging="360"/>
        <w:rPr>
          <w:sz w:val="22"/>
          <w:szCs w:val="22"/>
        </w:rPr>
      </w:pPr>
      <w:bookmarkStart w:id="53" w:name="__RefHeading___Toc8249_3024895937"/>
      <w:bookmarkStart w:id="54" w:name="_Toc108539635"/>
      <w:bookmarkStart w:id="55" w:name="_Toc163657383"/>
      <w:bookmarkEnd w:id="53"/>
      <w:r>
        <w:rPr>
          <w:sz w:val="22"/>
          <w:szCs w:val="22"/>
        </w:rPr>
        <w:t>SUBCONTRATAÇÃO</w:t>
      </w:r>
      <w:bookmarkEnd w:id="54"/>
      <w:bookmarkEnd w:id="55"/>
    </w:p>
    <w:p>
      <w:pPr>
        <w:pStyle w:val="Ttulo12"/>
        <w:numPr>
          <w:ilvl w:val="0"/>
          <w:numId w:val="0"/>
        </w:numPr>
        <w:ind w:left="1263" w:right="0" w:hanging="0"/>
        <w:rPr>
          <w:sz w:val="22"/>
          <w:szCs w:val="22"/>
        </w:rPr>
      </w:pPr>
      <w:r>
        <w:rPr>
          <w:sz w:val="22"/>
          <w:szCs w:val="22"/>
        </w:rPr>
      </w:r>
    </w:p>
    <w:p>
      <w:pPr>
        <w:pStyle w:val="Corpodotexto"/>
        <w:spacing w:before="144" w:after="240"/>
        <w:ind w:left="0" w:right="0" w:hanging="0"/>
        <w:rPr>
          <w:color w:val="auto"/>
        </w:rPr>
      </w:pPr>
      <w:r>
        <w:rPr>
          <w:color w:val="auto"/>
        </w:rPr>
        <w:tab/>
      </w:r>
      <w:r>
        <w:rPr>
          <w:color w:val="000000"/>
          <w:shd w:fill="auto" w:val="clear"/>
        </w:rPr>
        <w:t xml:space="preserve">A CONTRATADA </w:t>
      </w:r>
      <w:r>
        <w:rPr>
          <w:b/>
          <w:color w:val="000000"/>
          <w:shd w:fill="auto" w:val="clear"/>
        </w:rPr>
        <w:t>não poderá subcontratar</w:t>
      </w:r>
      <w:r>
        <w:rPr>
          <w:color w:val="000000"/>
          <w:shd w:fill="auto" w:val="clear"/>
        </w:rPr>
        <w:t xml:space="preserve"> </w:t>
      </w:r>
      <w:r>
        <w:rPr>
          <w:rFonts w:eastAsia="Arial Unicode MS" w:cs="Arial"/>
          <w:color w:val="000000"/>
          <w:kern w:val="0"/>
          <w:sz w:val="22"/>
          <w:szCs w:val="22"/>
          <w:shd w:fill="auto" w:val="clear"/>
          <w:lang w:val="pt-PT" w:eastAsia="en-US" w:bidi="ar-SA"/>
        </w:rPr>
        <w:t>os serviços, pois se tratam de serviços de baixo vulto e baixa complexidade que envolvem apenas uma única disciplina de engenharia, a ser executado por poucos profissionais (1 responsável técnico, 1 eletricista, 1 ajudante), não justifica-se a subcontratação</w:t>
      </w:r>
    </w:p>
    <w:p>
      <w:pPr>
        <w:pStyle w:val="Corpodotexto"/>
        <w:spacing w:before="144" w:after="240"/>
        <w:ind w:left="0" w:right="0" w:hanging="0"/>
        <w:rPr>
          <w:shd w:fill="auto" w:val="clear"/>
        </w:rPr>
      </w:pPr>
      <w:r>
        <w:rPr>
          <w:shd w:fill="auto" w:val="clear"/>
        </w:rPr>
      </w:r>
    </w:p>
    <w:p>
      <w:pPr>
        <w:pStyle w:val="Ttulo12"/>
        <w:widowControl w:val="false"/>
        <w:numPr>
          <w:ilvl w:val="1"/>
          <w:numId w:val="1"/>
        </w:numPr>
        <w:tabs>
          <w:tab w:val="clear" w:pos="720"/>
          <w:tab w:val="left" w:pos="847" w:leader="none"/>
          <w:tab w:val="left" w:pos="960" w:leader="none"/>
        </w:tabs>
        <w:suppressAutoHyphens w:val="true"/>
        <w:overflowPunct w:val="true"/>
        <w:bidi w:val="0"/>
        <w:spacing w:lineRule="auto" w:line="240" w:before="71" w:after="240"/>
        <w:ind w:left="1020" w:right="0" w:hanging="1020"/>
        <w:jc w:val="left"/>
        <w:rPr>
          <w:rFonts w:eastAsia="Arial" w:cs="Arial"/>
          <w:b/>
          <w:b/>
          <w:bCs/>
          <w:color w:val="auto"/>
          <w:kern w:val="0"/>
          <w:sz w:val="22"/>
          <w:szCs w:val="22"/>
          <w:lang w:val="pt-PT" w:eastAsia="en-US" w:bidi="ar-SA"/>
        </w:rPr>
      </w:pPr>
      <w:bookmarkStart w:id="56" w:name="__RefHeading___Toc8251_3024895937"/>
      <w:bookmarkStart w:id="57" w:name="_Toc108539657"/>
      <w:bookmarkStart w:id="58" w:name="_Toc155798164"/>
      <w:bookmarkStart w:id="59" w:name="_Toc163657384"/>
      <w:bookmarkEnd w:id="56"/>
      <w:r>
        <w:rPr>
          <w:rFonts w:eastAsia="Arial" w:cs="Arial"/>
          <w:b/>
          <w:bCs/>
          <w:color w:val="auto"/>
          <w:kern w:val="0"/>
          <w:sz w:val="22"/>
          <w:szCs w:val="22"/>
          <w:lang w:val="pt-PT" w:eastAsia="en-US" w:bidi="ar-SA"/>
        </w:rPr>
        <w:t>VISTORIA/ VISITA TÉCNICA</w:t>
      </w:r>
      <w:bookmarkEnd w:id="57"/>
      <w:bookmarkEnd w:id="58"/>
      <w:bookmarkEnd w:id="59"/>
    </w:p>
    <w:p>
      <w:pPr>
        <w:pStyle w:val="Corpodotexto"/>
        <w:spacing w:before="144" w:after="240"/>
        <w:ind w:left="0" w:right="0" w:hanging="0"/>
        <w:jc w:val="both"/>
        <w:rPr/>
      </w:pPr>
      <w:r>
        <w:rPr>
          <w:b/>
          <w:bCs/>
        </w:rPr>
        <w:t xml:space="preserve">3.1 </w:t>
      </w:r>
      <w:r>
        <w:rPr/>
        <w:t xml:space="preserve">Os licitantes poderão vistoriar o local onde serão executados os serviços até o último dia útil anterior à data fixada para a abertura da sessão pública, com o objetivo de inteirar-se das condições e grau de dificuldade existentes, mediante prévio agendamento junto à Coordenação de Engenharia, Eng. Luciano Fernando da Rosa, pelo telefone </w:t>
      </w:r>
      <w:r>
        <w:rPr>
          <w:rFonts w:eastAsia="Arial Unicode MS" w:cs="Arial"/>
          <w:color w:val="auto"/>
          <w:kern w:val="0"/>
          <w:sz w:val="22"/>
          <w:szCs w:val="22"/>
          <w:lang w:val="pt-PT" w:eastAsia="en-US" w:bidi="ar-SA"/>
        </w:rPr>
        <w:t>3330-4786</w:t>
      </w:r>
      <w:r>
        <w:rPr/>
        <w:t>.</w:t>
      </w:r>
    </w:p>
    <w:p>
      <w:pPr>
        <w:pStyle w:val="Corpodotexto"/>
        <w:spacing w:before="144" w:after="240"/>
        <w:ind w:left="0" w:right="0" w:hanging="0"/>
        <w:jc w:val="both"/>
        <w:rPr/>
      </w:pPr>
      <w:r>
        <w:rPr>
          <w:b/>
          <w:bCs/>
        </w:rPr>
        <w:t>3.1.1</w:t>
      </w:r>
      <w:r>
        <w:rPr/>
        <w:t xml:space="preserve"> O agendamento deverá ser feito em até dois dias anteriores à data da abertura da sessão da Concorrência eletrônica eletrônico.</w:t>
      </w:r>
    </w:p>
    <w:p>
      <w:pPr>
        <w:pStyle w:val="Corpodotexto"/>
        <w:spacing w:before="144" w:after="240"/>
        <w:ind w:left="0" w:right="0" w:hanging="0"/>
        <w:jc w:val="both"/>
        <w:rPr/>
      </w:pPr>
      <w:r>
        <w:rPr>
          <w:b/>
          <w:bCs/>
        </w:rPr>
        <w:t>3.1.2</w:t>
      </w:r>
      <w:r>
        <w:rPr/>
        <w:t xml:space="preserve"> Ainda que os licitantes optem por não realizar a vistoria, deverão apresentar declaração formal assinada pelo responsável técnico do licitante acerca do conhecimento pleno das condições e peculiaridades da contratação, conforme modelo constante no Anexo VII deste Edital.</w:t>
      </w:r>
    </w:p>
    <w:p>
      <w:pPr>
        <w:pStyle w:val="Corpodotexto"/>
        <w:spacing w:before="144" w:after="240"/>
        <w:ind w:left="0" w:right="0" w:hanging="0"/>
        <w:jc w:val="both"/>
        <w:rPr/>
      </w:pPr>
      <w:r>
        <w:rPr>
          <w:b/>
          <w:bCs/>
        </w:rPr>
        <w:t>3.1.3</w:t>
      </w:r>
      <w:r>
        <w:rPr/>
        <w:t xml:space="preserve"> A não realização da vistoria não poderá embasar posteriores alegações de desconhecimento das instalações, dúvidas ou esquecimentos de quaisquer detalhes dos locais da prestação dos serviços, devendo o licitante vencedor assumir os ônus dos serviços decorrentes.</w:t>
      </w:r>
    </w:p>
    <w:p>
      <w:pPr>
        <w:pStyle w:val="Corpodotexto"/>
        <w:spacing w:before="144" w:after="240"/>
        <w:ind w:left="0" w:right="0" w:hanging="0"/>
        <w:jc w:val="both"/>
        <w:rPr/>
      </w:pPr>
      <w:r>
        <w:rPr>
          <w:b/>
          <w:bCs/>
        </w:rPr>
        <w:t>3.1.4</w:t>
      </w:r>
      <w:r>
        <w:rPr/>
        <w:t xml:space="preserve"> Nenhum licitante poderá alegar desconhecimento das condições e grau de dificuldade existentes como justificativa para se eximir das obrigações assumidas ou em favor de eventuais pretensões de acréscimos de preços em decorrência da execução do objeto.</w:t>
      </w:r>
    </w:p>
    <w:p>
      <w:pPr>
        <w:pStyle w:val="Corpodotexto"/>
        <w:ind w:left="0" w:right="0" w:hanging="0"/>
        <w:rPr/>
      </w:pPr>
      <w:r>
        <w:rPr/>
      </w:r>
    </w:p>
    <w:p>
      <w:pPr>
        <w:pStyle w:val="Ttulo12"/>
        <w:numPr>
          <w:ilvl w:val="0"/>
          <w:numId w:val="1"/>
        </w:numPr>
        <w:tabs>
          <w:tab w:val="clear" w:pos="720"/>
          <w:tab w:val="left" w:pos="567" w:leader="none"/>
        </w:tabs>
        <w:spacing w:lineRule="auto" w:line="360" w:before="0" w:after="240"/>
        <w:ind w:left="567" w:right="0" w:hanging="567"/>
        <w:rPr/>
      </w:pPr>
      <w:bookmarkStart w:id="60" w:name="__RefHeading___Toc6382_3747343156"/>
      <w:bookmarkStart w:id="61" w:name="_Toc153229511"/>
      <w:bookmarkStart w:id="62" w:name="_Toc108539637"/>
      <w:bookmarkStart w:id="63" w:name="_Toc163657385"/>
      <w:bookmarkEnd w:id="60"/>
      <w:r>
        <w:rPr/>
        <w:t>JUSTIFICATIVA</w:t>
      </w:r>
      <w:bookmarkEnd w:id="61"/>
      <w:bookmarkEnd w:id="62"/>
      <w:bookmarkEnd w:id="63"/>
    </w:p>
    <w:p>
      <w:pPr>
        <w:pStyle w:val="Ttulo12"/>
        <w:numPr>
          <w:ilvl w:val="1"/>
          <w:numId w:val="1"/>
        </w:numPr>
        <w:ind w:left="360" w:right="0" w:hanging="360"/>
        <w:rPr>
          <w:sz w:val="22"/>
          <w:szCs w:val="22"/>
        </w:rPr>
      </w:pPr>
      <w:bookmarkStart w:id="64" w:name="__RefHeading___Toc6384_3747343156"/>
      <w:bookmarkStart w:id="65" w:name="_Toc163657386"/>
      <w:bookmarkStart w:id="66" w:name="_Toc153229512"/>
      <w:bookmarkStart w:id="67" w:name="_Toc108539638"/>
      <w:bookmarkEnd w:id="64"/>
      <w:r>
        <w:rPr>
          <w:sz w:val="22"/>
          <w:szCs w:val="22"/>
        </w:rPr>
        <w:t>DA NECESSIDADE DA CONTRATAÇÃO</w:t>
      </w:r>
      <w:bookmarkEnd w:id="65"/>
      <w:bookmarkEnd w:id="66"/>
      <w:bookmarkEnd w:id="67"/>
    </w:p>
    <w:p>
      <w:pPr>
        <w:pStyle w:val="Ttulo12"/>
        <w:numPr>
          <w:ilvl w:val="0"/>
          <w:numId w:val="0"/>
        </w:numPr>
        <w:ind w:left="1263" w:right="0" w:hanging="0"/>
        <w:rPr>
          <w:sz w:val="22"/>
          <w:szCs w:val="22"/>
        </w:rPr>
      </w:pPr>
      <w:r>
        <w:rPr>
          <w:sz w:val="22"/>
          <w:szCs w:val="22"/>
        </w:rPr>
      </w:r>
    </w:p>
    <w:p>
      <w:pPr>
        <w:pStyle w:val="Corpodotexto"/>
        <w:spacing w:before="0" w:after="240"/>
        <w:ind w:left="0" w:right="0" w:hanging="0"/>
        <w:rPr/>
      </w:pPr>
      <w:r>
        <w:rPr/>
        <w:tab/>
        <w:t>A descrição da necessidade de contratação está relatada no ETP – Estudo Técnico de Viabilidade</w:t>
      </w:r>
      <w:r>
        <w:rPr>
          <w:color w:val="auto"/>
        </w:rPr>
        <w:t xml:space="preserve">, </w:t>
      </w:r>
      <w:r>
        <w:rPr/>
        <w:t>no item 1.1, conforme Art. 15, I, Dec.10.086/22 -  Motivação do Ato.</w:t>
      </w:r>
    </w:p>
    <w:p>
      <w:pPr>
        <w:pStyle w:val="Corpodotexto"/>
        <w:spacing w:before="0" w:after="12"/>
        <w:ind w:left="0" w:right="0" w:hanging="0"/>
        <w:rPr/>
      </w:pPr>
      <w:r>
        <w:rPr/>
      </w:r>
    </w:p>
    <w:p>
      <w:pPr>
        <w:pStyle w:val="Ttulo12"/>
        <w:keepNext w:val="true"/>
        <w:keepLines/>
        <w:widowControl/>
        <w:numPr>
          <w:ilvl w:val="0"/>
          <w:numId w:val="1"/>
        </w:numPr>
        <w:tabs>
          <w:tab w:val="clear" w:pos="720"/>
          <w:tab w:val="left" w:pos="567" w:leader="none"/>
        </w:tabs>
        <w:suppressAutoHyphens w:val="true"/>
        <w:bidi w:val="0"/>
        <w:spacing w:lineRule="auto" w:line="360" w:before="71" w:after="240"/>
        <w:ind w:left="567" w:right="0" w:hanging="567"/>
        <w:jc w:val="left"/>
        <w:outlineLvl w:val="0"/>
        <w:rPr/>
      </w:pPr>
      <w:bookmarkStart w:id="68" w:name="__RefHeading___Toc8253_3024895937"/>
      <w:bookmarkStart w:id="69" w:name="_Toc163044517"/>
      <w:bookmarkStart w:id="70" w:name="_Toc163657387"/>
      <w:bookmarkEnd w:id="68"/>
      <w:r>
        <w:rPr>
          <w:rFonts w:eastAsia="Arial" w:cs="Arial"/>
          <w:b/>
          <w:bCs/>
          <w:color w:val="auto"/>
          <w:kern w:val="0"/>
          <w:sz w:val="24"/>
          <w:szCs w:val="24"/>
          <w:lang w:val="pt-PT" w:eastAsia="en-US" w:bidi="ar-SA"/>
        </w:rPr>
        <w:t xml:space="preserve">MODELO DE </w:t>
      </w:r>
      <w:bookmarkEnd w:id="69"/>
      <w:bookmarkEnd w:id="70"/>
      <w:r>
        <w:rPr>
          <w:rFonts w:eastAsia="Arial" w:cs="Arial"/>
          <w:b/>
          <w:bCs/>
          <w:color w:val="auto"/>
          <w:kern w:val="0"/>
          <w:sz w:val="24"/>
          <w:szCs w:val="24"/>
          <w:lang w:val="pt-PT" w:eastAsia="en-US" w:bidi="ar-SA"/>
        </w:rPr>
        <w:t>EXECUÇÃO DO OBJETO</w:t>
      </w:r>
    </w:p>
    <w:p>
      <w:pPr>
        <w:pStyle w:val="Corpodotexto"/>
        <w:spacing w:lineRule="auto" w:line="360"/>
        <w:rPr/>
      </w:pPr>
      <w:r>
        <w:rPr/>
        <w:tab/>
      </w:r>
      <w:r>
        <w:rPr>
          <w:rFonts w:eastAsia="Arial Unicode MS" w:cs="Arial"/>
          <w:color w:val="auto"/>
          <w:kern w:val="0"/>
          <w:sz w:val="22"/>
          <w:szCs w:val="22"/>
          <w:lang w:val="pt-PT" w:eastAsia="en-US" w:bidi="ar-SA"/>
        </w:rPr>
        <w:t xml:space="preserve">As definições das obrigações da CONTRATANTE e da CONTRATADA devem seguir aquelas elencadas na 16. CLÁUSULA DÉCIMA SEXTA – DA EXECUÇÃO na MINUTA PADRÃO – CONTRATO DE OBRA (Anexo I do Edital), </w:t>
      </w:r>
    </w:p>
    <w:p>
      <w:pPr>
        <w:pStyle w:val="Corpodotexto"/>
        <w:spacing w:before="57" w:after="126"/>
        <w:rPr/>
      </w:pPr>
      <w:r>
        <w:rPr>
          <w:rFonts w:eastAsia="Arial" w:cs="Arial"/>
          <w:b/>
          <w:bCs/>
          <w:sz w:val="24"/>
          <w:szCs w:val="24"/>
          <w:shd w:fill="FFFF00" w:val="clear"/>
          <w:lang w:val="pt-PT"/>
        </w:rPr>
        <w:t xml:space="preserve">    </w:t>
      </w:r>
      <w:r>
        <w:rPr/>
        <w:t xml:space="preserve">               </w:t>
      </w:r>
    </w:p>
    <w:p>
      <w:pPr>
        <w:pStyle w:val="Ttulo12"/>
        <w:numPr>
          <w:ilvl w:val="0"/>
          <w:numId w:val="1"/>
        </w:numPr>
        <w:tabs>
          <w:tab w:val="clear" w:pos="720"/>
          <w:tab w:val="left" w:pos="567" w:leader="none"/>
        </w:tabs>
        <w:spacing w:lineRule="auto" w:line="360" w:before="71" w:after="240"/>
        <w:ind w:left="567" w:right="0" w:hanging="567"/>
        <w:rPr>
          <w:rFonts w:eastAsia="Arial" w:cs="Arial"/>
          <w:b/>
          <w:b/>
          <w:bCs/>
          <w:color w:val="auto"/>
          <w:kern w:val="0"/>
          <w:sz w:val="24"/>
          <w:szCs w:val="24"/>
          <w:lang w:val="pt-PT" w:eastAsia="en-US" w:bidi="ar-SA"/>
        </w:rPr>
      </w:pPr>
      <w:bookmarkStart w:id="71" w:name="__RefHeading___Toc8287_3024895937"/>
      <w:bookmarkStart w:id="72" w:name="_Toc163657388"/>
      <w:bookmarkEnd w:id="71"/>
      <w:r>
        <w:rPr>
          <w:rFonts w:eastAsia="Arial" w:cs="Arial"/>
          <w:b/>
          <w:bCs/>
          <w:color w:val="auto"/>
          <w:kern w:val="0"/>
          <w:sz w:val="24"/>
          <w:szCs w:val="24"/>
          <w:lang w:val="pt-PT" w:eastAsia="en-US" w:bidi="ar-SA"/>
        </w:rPr>
        <w:t>MODELO DE GESTÃO DO CONTRATO</w:t>
      </w:r>
      <w:bookmarkEnd w:id="72"/>
      <w:r>
        <w:rPr>
          <w:rFonts w:eastAsia="Arial" w:cs="Arial"/>
          <w:b/>
          <w:bCs/>
          <w:color w:val="auto"/>
          <w:kern w:val="0"/>
          <w:sz w:val="24"/>
          <w:szCs w:val="24"/>
          <w:lang w:val="pt-PT" w:eastAsia="en-US" w:bidi="ar-SA"/>
        </w:rPr>
        <w:t xml:space="preserve"> E CONTROLE DE EXECUÇÃO</w:t>
      </w:r>
    </w:p>
    <w:p>
      <w:pPr>
        <w:pStyle w:val="Corpodotexto"/>
        <w:widowControl w:val="false"/>
        <w:numPr>
          <w:ilvl w:val="0"/>
          <w:numId w:val="0"/>
        </w:numPr>
        <w:suppressAutoHyphens w:val="true"/>
        <w:overflowPunct w:val="true"/>
        <w:bidi w:val="0"/>
        <w:spacing w:lineRule="auto" w:line="360" w:before="0" w:after="69"/>
        <w:ind w:left="0" w:right="113" w:hanging="0"/>
        <w:jc w:val="both"/>
        <w:rPr/>
      </w:pPr>
      <w:r>
        <w:rPr>
          <w:rFonts w:eastAsia="Arial Unicode MS" w:cs="Arial"/>
          <w:color w:val="auto"/>
          <w:kern w:val="0"/>
          <w:sz w:val="22"/>
          <w:szCs w:val="22"/>
          <w:lang w:val="pt-PT" w:eastAsia="en-US" w:bidi="ar-SA"/>
        </w:rPr>
        <w:t>As definições das obrigações da CONTRATANTE e da CONTRATADA devem seguir aquelas elencadas na 6. CLÁUSULA SEXTA – DOS CONTROLES DE EXECUÇÃO na MINUTA PADRÃO – CONTRATO DE OBRA (Anexo I do Edital).</w:t>
      </w:r>
    </w:p>
    <w:p>
      <w:pPr>
        <w:pStyle w:val="Corpodotexto"/>
        <w:numPr>
          <w:ilvl w:val="0"/>
          <w:numId w:val="0"/>
        </w:numPr>
        <w:spacing w:lineRule="auto" w:line="360"/>
        <w:ind w:left="360" w:right="113" w:hanging="0"/>
        <w:rPr>
          <w:rFonts w:ascii="Arial" w:hAnsi="Arial" w:eastAsia="Arial Unicode MS" w:cs="Arial"/>
          <w:color w:val="auto"/>
          <w:kern w:val="0"/>
          <w:sz w:val="22"/>
          <w:szCs w:val="22"/>
          <w:lang w:val="pt-PT" w:eastAsia="en-US" w:bidi="ar-SA"/>
        </w:rPr>
      </w:pPr>
      <w:r>
        <w:rPr>
          <w:rFonts w:eastAsia="Arial Unicode MS" w:cs="Arial"/>
          <w:color w:val="auto"/>
          <w:kern w:val="0"/>
          <w:sz w:val="22"/>
          <w:szCs w:val="22"/>
          <w:lang w:val="pt-PT" w:eastAsia="en-US" w:bidi="ar-SA"/>
        </w:rPr>
      </w:r>
    </w:p>
    <w:p>
      <w:pPr>
        <w:pStyle w:val="Ttulo12"/>
        <w:numPr>
          <w:ilvl w:val="1"/>
          <w:numId w:val="1"/>
        </w:numPr>
        <w:ind w:left="360" w:right="0" w:hanging="360"/>
        <w:rPr>
          <w:sz w:val="22"/>
          <w:szCs w:val="22"/>
        </w:rPr>
      </w:pPr>
      <w:bookmarkStart w:id="73" w:name="__RefHeading___Toc8289_3024895937"/>
      <w:bookmarkStart w:id="74" w:name="_Toc163657389"/>
      <w:bookmarkStart w:id="75" w:name="_Toc153229515_Copia_1_Copia_1"/>
      <w:bookmarkStart w:id="76" w:name="_Toc108539643_Copia_1_Copia_1"/>
      <w:bookmarkEnd w:id="73"/>
      <w:r>
        <w:rPr>
          <w:sz w:val="22"/>
          <w:szCs w:val="22"/>
        </w:rPr>
        <w:t>A</w:t>
      </w:r>
      <w:bookmarkEnd w:id="75"/>
      <w:bookmarkEnd w:id="76"/>
      <w:r>
        <w:rPr>
          <w:sz w:val="22"/>
          <w:szCs w:val="22"/>
        </w:rPr>
        <w:t>GENTES RESPONSÁVEIS PELO ACOMPANHAMENTO E GESTÃO DO CONTRATO</w:t>
      </w:r>
      <w:bookmarkEnd w:id="74"/>
    </w:p>
    <w:p>
      <w:pPr>
        <w:pStyle w:val="Ttulo12"/>
        <w:numPr>
          <w:ilvl w:val="0"/>
          <w:numId w:val="0"/>
        </w:numPr>
        <w:ind w:left="1263" w:right="0" w:hanging="0"/>
        <w:rPr>
          <w:sz w:val="22"/>
          <w:szCs w:val="22"/>
        </w:rPr>
      </w:pPr>
      <w:r>
        <w:rPr>
          <w:sz w:val="22"/>
          <w:szCs w:val="22"/>
        </w:rPr>
      </w:r>
    </w:p>
    <w:p>
      <w:pPr>
        <w:pStyle w:val="Corpodotexto"/>
        <w:spacing w:before="0" w:after="240"/>
        <w:ind w:left="0" w:right="0" w:hanging="0"/>
        <w:rPr/>
      </w:pPr>
      <w:r>
        <w:rPr>
          <w:shd w:fill="auto" w:val="clear"/>
        </w:rPr>
        <w:t>O acompanhamento do objeto será definido pela Secretário de Estado da Saúde</w:t>
      </w:r>
    </w:p>
    <w:p>
      <w:pPr>
        <w:pStyle w:val="Corpodotexto"/>
        <w:spacing w:before="0" w:after="240"/>
        <w:ind w:left="0" w:right="0" w:hanging="0"/>
        <w:rPr>
          <w:rFonts w:eastAsia="Arial Unicode MS" w:cs="Arial"/>
          <w:color w:val="000000"/>
          <w:kern w:val="0"/>
          <w:sz w:val="22"/>
          <w:szCs w:val="22"/>
          <w:shd w:fill="auto" w:val="clear"/>
          <w:lang w:val="pt-PT" w:eastAsia="en-US" w:bidi="ar-SA"/>
        </w:rPr>
      </w:pPr>
      <w:r>
        <w:rPr>
          <w:rFonts w:eastAsia="Arial Unicode MS" w:cs="Arial"/>
          <w:color w:val="000000"/>
          <w:kern w:val="0"/>
          <w:sz w:val="22"/>
          <w:szCs w:val="22"/>
          <w:shd w:fill="auto" w:val="clear"/>
          <w:lang w:val="pt-PT" w:eastAsia="en-US" w:bidi="ar-SA"/>
        </w:rPr>
      </w:r>
    </w:p>
    <w:p>
      <w:pPr>
        <w:pStyle w:val="Ttulo12"/>
        <w:numPr>
          <w:ilvl w:val="1"/>
          <w:numId w:val="1"/>
        </w:numPr>
        <w:ind w:left="360" w:right="0" w:hanging="360"/>
        <w:rPr>
          <w:sz w:val="22"/>
          <w:szCs w:val="22"/>
        </w:rPr>
      </w:pPr>
      <w:bookmarkStart w:id="77" w:name="__RefHeading___Toc8291_3024895937"/>
      <w:bookmarkStart w:id="78" w:name="_Toc163657390"/>
      <w:bookmarkEnd w:id="77"/>
      <w:r>
        <w:rPr>
          <w:sz w:val="22"/>
          <w:szCs w:val="22"/>
        </w:rPr>
        <w:t>COMUNICAÇÃO E TROCA DE INFORMAÇÕES ENTRE CONTRATANTE E CONTRATAD</w:t>
      </w:r>
      <w:bookmarkEnd w:id="78"/>
      <w:r>
        <w:rPr>
          <w:sz w:val="22"/>
          <w:szCs w:val="22"/>
        </w:rPr>
        <w:t>A</w:t>
      </w:r>
    </w:p>
    <w:p>
      <w:pPr>
        <w:pStyle w:val="Ttulo12"/>
        <w:numPr>
          <w:ilvl w:val="0"/>
          <w:numId w:val="0"/>
        </w:numPr>
        <w:ind w:left="1263" w:right="0" w:hanging="0"/>
        <w:rPr>
          <w:sz w:val="22"/>
          <w:szCs w:val="22"/>
        </w:rPr>
      </w:pPr>
      <w:r>
        <w:rPr>
          <w:sz w:val="22"/>
          <w:szCs w:val="22"/>
        </w:rPr>
      </w:r>
    </w:p>
    <w:p>
      <w:pPr>
        <w:pStyle w:val="Normal"/>
        <w:spacing w:lineRule="auto" w:line="360"/>
        <w:jc w:val="both"/>
        <w:rPr>
          <w:rFonts w:ascii="Arial" w:hAnsi="Arial" w:eastAsia="Arial Unicode MS" w:cs="Arial"/>
          <w:color w:val="auto"/>
          <w:lang w:val="pt-PT"/>
        </w:rPr>
      </w:pPr>
      <w:r>
        <w:rPr>
          <w:rFonts w:eastAsia="Arial Unicode MS" w:cs="Arial" w:ascii="Arial" w:hAnsi="Arial"/>
          <w:color w:val="auto"/>
          <w:lang w:val="pt-PT"/>
        </w:rPr>
      </w:r>
    </w:p>
    <w:p>
      <w:pPr>
        <w:pStyle w:val="Normal"/>
        <w:spacing w:lineRule="auto" w:line="360"/>
        <w:jc w:val="both"/>
        <w:rPr/>
      </w:pPr>
      <w:r>
        <w:rPr>
          <w:rFonts w:eastAsia="Arial Unicode MS" w:cs="Arial" w:ascii="Arial" w:hAnsi="Arial"/>
          <w:lang w:val="pt-PT"/>
        </w:rPr>
        <w:tab/>
        <w:t xml:space="preserve">O protocolo que originará a contratação e consta o presente Termo de Referência e demais elementos técnicos instrutores da licitação é o </w:t>
      </w:r>
      <w:r>
        <w:rPr>
          <w:rFonts w:eastAsia="Arial Unicode MS" w:cs="Arial" w:ascii="Arial" w:hAnsi="Arial"/>
          <w:b/>
          <w:bCs/>
          <w:lang w:val="pt-PT"/>
        </w:rPr>
        <w:t>21.539.089-6</w:t>
      </w:r>
      <w:r>
        <w:rPr>
          <w:rFonts w:eastAsia="Arial Unicode MS" w:cs="Arial" w:ascii="Arial" w:hAnsi="Arial"/>
          <w:lang w:val="pt-PT"/>
        </w:rPr>
        <w:t xml:space="preserve"> e o mesmo embasará todos os atos, desde a formalização do contrato, alterações que possam se fazer necessárias até o recebimento definitivo do objeto.</w:t>
      </w:r>
    </w:p>
    <w:p>
      <w:pPr>
        <w:pStyle w:val="Normal"/>
        <w:spacing w:lineRule="auto" w:line="360" w:before="114" w:after="214"/>
        <w:jc w:val="both"/>
        <w:rPr>
          <w:rFonts w:ascii="Arial" w:hAnsi="Arial" w:eastAsia="Arial Unicode MS" w:cs="Arial"/>
          <w:lang w:val="pt-PT"/>
        </w:rPr>
      </w:pPr>
      <w:r>
        <w:rPr>
          <w:rFonts w:eastAsia="Arial Unicode MS" w:cs="Arial" w:ascii="Arial" w:hAnsi="Arial"/>
          <w:lang w:val="pt-PT"/>
        </w:rPr>
        <w:tab/>
        <w:t>Toda a comunicação entre as partes deverá ser feita por escrito. Todos os assuntos discutidos e decisões tomadas em reuniões do CONTRATANTE com o CONTRATADO, serão registradas em atas, que servirão de documento legal dos serviços e permitirão gerenciar as responsabilidades por tarefas específicas. As atas serão lavradas e assinadas pelos participantes.</w:t>
      </w:r>
    </w:p>
    <w:p>
      <w:pPr>
        <w:pStyle w:val="Ttulo12"/>
        <w:numPr>
          <w:ilvl w:val="1"/>
          <w:numId w:val="1"/>
        </w:numPr>
        <w:ind w:left="360" w:right="0" w:hanging="360"/>
        <w:rPr>
          <w:sz w:val="22"/>
          <w:szCs w:val="22"/>
        </w:rPr>
      </w:pPr>
      <w:bookmarkStart w:id="79" w:name="__RefHeading___Toc8293_3024895937"/>
      <w:bookmarkStart w:id="80" w:name="_Toc163044521"/>
      <w:bookmarkStart w:id="81" w:name="_Toc163657391"/>
      <w:bookmarkEnd w:id="79"/>
      <w:r>
        <w:rPr>
          <w:sz w:val="22"/>
          <w:szCs w:val="22"/>
        </w:rPr>
        <w:t>FORMA DE PAGAMENTO DO OBJETO CONTRATADO</w:t>
      </w:r>
      <w:bookmarkEnd w:id="80"/>
      <w:bookmarkEnd w:id="81"/>
    </w:p>
    <w:p>
      <w:pPr>
        <w:pStyle w:val="Ttulo12"/>
        <w:numPr>
          <w:ilvl w:val="0"/>
          <w:numId w:val="0"/>
        </w:numPr>
        <w:ind w:left="1263" w:right="0" w:hanging="0"/>
        <w:rPr>
          <w:sz w:val="22"/>
          <w:szCs w:val="22"/>
        </w:rPr>
      </w:pPr>
      <w:r>
        <w:rPr>
          <w:sz w:val="22"/>
          <w:szCs w:val="22"/>
        </w:rPr>
      </w:r>
    </w:p>
    <w:p>
      <w:pPr>
        <w:pStyle w:val="Corpodotexto"/>
        <w:spacing w:before="0" w:after="240"/>
        <w:ind w:left="113" w:right="113" w:firstLine="709"/>
        <w:jc w:val="both"/>
        <w:rPr/>
      </w:pPr>
      <w:r>
        <w:rPr>
          <w:lang w:val="pt-BR"/>
        </w:rPr>
        <w:t xml:space="preserve">Para serviços contratados em regime de preço global, o pagamento ocorrerá sobre medições conforme cronograma físico-financeiro, </w:t>
      </w:r>
      <w:r>
        <w:rPr>
          <w:color w:val="auto"/>
          <w:lang w:val="pt-BR"/>
        </w:rPr>
        <w:t xml:space="preserve">vide </w:t>
      </w:r>
      <w:r>
        <w:rPr>
          <w:rFonts w:eastAsia="Arial Unicode MS" w:cs="Arial"/>
          <w:color w:val="auto"/>
          <w:kern w:val="0"/>
          <w:sz w:val="22"/>
          <w:szCs w:val="22"/>
          <w:lang w:val="pt-BR" w:eastAsia="en-US" w:bidi="ar-SA"/>
        </w:rPr>
        <w:t>Anexo XIII do Edital</w:t>
      </w:r>
      <w:r>
        <w:rPr>
          <w:lang w:val="pt-BR"/>
        </w:rPr>
        <w:t>.</w:t>
      </w:r>
    </w:p>
    <w:p>
      <w:pPr>
        <w:pStyle w:val="Ttulo12"/>
        <w:numPr>
          <w:ilvl w:val="1"/>
          <w:numId w:val="1"/>
        </w:numPr>
        <w:ind w:left="360" w:right="0" w:hanging="360"/>
        <w:rPr>
          <w:sz w:val="22"/>
          <w:szCs w:val="22"/>
        </w:rPr>
      </w:pPr>
      <w:bookmarkStart w:id="82" w:name="__RefHeading___Toc8295_3024895937"/>
      <w:bookmarkStart w:id="83" w:name="_Toc163657392"/>
      <w:bookmarkEnd w:id="82"/>
      <w:r>
        <w:rPr>
          <w:sz w:val="22"/>
          <w:szCs w:val="22"/>
        </w:rPr>
        <w:t>SANÇÕES, GLOSAS E EXTINÇÃO DO CONTRATO</w:t>
      </w:r>
      <w:bookmarkEnd w:id="83"/>
    </w:p>
    <w:p>
      <w:pPr>
        <w:pStyle w:val="Ttulo12"/>
        <w:numPr>
          <w:ilvl w:val="0"/>
          <w:numId w:val="0"/>
        </w:numPr>
        <w:ind w:left="1263" w:right="0" w:hanging="0"/>
        <w:rPr>
          <w:sz w:val="22"/>
          <w:szCs w:val="22"/>
        </w:rPr>
      </w:pPr>
      <w:r>
        <w:rPr>
          <w:sz w:val="22"/>
          <w:szCs w:val="22"/>
        </w:rPr>
      </w:r>
    </w:p>
    <w:p>
      <w:pPr>
        <w:pStyle w:val="Corpodotexto"/>
        <w:spacing w:before="0" w:after="0"/>
        <w:ind w:left="113" w:right="113" w:firstLine="709"/>
        <w:rPr/>
      </w:pPr>
      <w:r>
        <w:rPr/>
        <w:t xml:space="preserve">Durante a execução do objeto, o fiscal técnico designado deverá monitorar constantemente o nível de qualidade dos serviços para evitar a sua degeneração, devendo intervir para requerer à </w:t>
      </w:r>
      <w:r>
        <w:rPr>
          <w:color w:val="auto"/>
        </w:rPr>
        <w:t>CONTRATADA</w:t>
      </w:r>
      <w:r>
        <w:rPr/>
        <w:t xml:space="preserve"> a correção, caso constatadas faltas, falhas e irregularidades.</w:t>
      </w:r>
    </w:p>
    <w:p>
      <w:pPr>
        <w:pStyle w:val="Corpodotexto"/>
        <w:spacing w:before="0" w:after="240"/>
        <w:ind w:left="113" w:right="113" w:firstLine="709"/>
        <w:rPr/>
      </w:pPr>
      <w:r>
        <w:rPr/>
        <w:t>Para o eventual descumprimento contratual e/ou porventura, de conduta ilícita, a fim de se identificar os pressupostos caracterizadores da infração e a precisa extensão da penalidade cabível, são incluídas ao Contrato as Sanções do Edital.</w:t>
      </w:r>
    </w:p>
    <w:p>
      <w:pPr>
        <w:pStyle w:val="Ttulo12"/>
        <w:numPr>
          <w:ilvl w:val="1"/>
          <w:numId w:val="1"/>
        </w:numPr>
        <w:ind w:left="360" w:right="0" w:hanging="360"/>
        <w:rPr>
          <w:highlight w:val="none"/>
          <w:shd w:fill="auto" w:val="clear"/>
        </w:rPr>
      </w:pPr>
      <w:bookmarkStart w:id="84" w:name="__RefHeading___Toc8297_3024895937"/>
      <w:bookmarkStart w:id="85" w:name="_Toc163657393"/>
      <w:bookmarkEnd w:id="84"/>
      <w:r>
        <w:rPr>
          <w:sz w:val="22"/>
          <w:szCs w:val="22"/>
          <w:shd w:fill="auto" w:val="clear"/>
        </w:rPr>
        <w:t>CRONOGRAMA DE EXECUÇÃO FÍSICA</w:t>
      </w:r>
      <w:bookmarkEnd w:id="85"/>
    </w:p>
    <w:p>
      <w:pPr>
        <w:pStyle w:val="Ttulo12"/>
        <w:numPr>
          <w:ilvl w:val="0"/>
          <w:numId w:val="0"/>
        </w:numPr>
        <w:ind w:left="1263" w:right="0" w:hanging="0"/>
        <w:rPr>
          <w:sz w:val="22"/>
          <w:szCs w:val="22"/>
          <w:highlight w:val="none"/>
          <w:shd w:fill="auto" w:val="clear"/>
        </w:rPr>
      </w:pPr>
      <w:r>
        <w:rPr>
          <w:sz w:val="22"/>
          <w:szCs w:val="22"/>
          <w:shd w:fill="auto" w:val="clear"/>
        </w:rPr>
      </w:r>
    </w:p>
    <w:p>
      <w:pPr>
        <w:pStyle w:val="Corpodotexto"/>
        <w:spacing w:before="0" w:after="240"/>
        <w:ind w:left="113" w:right="113" w:firstLine="709"/>
        <w:rPr>
          <w:highlight w:val="none"/>
          <w:shd w:fill="auto" w:val="clear"/>
        </w:rPr>
      </w:pPr>
      <w:r>
        <w:rPr>
          <w:shd w:fill="auto" w:val="clear"/>
        </w:rPr>
        <w:t>O cronograma físico-financeiro do presente objeto, contendo os serviços e seu respectivos desembolsos financeiros por etapa, faz parte dos elementos técnicos instrutores da contratação, constante no corpo do processo.</w:t>
      </w:r>
    </w:p>
    <w:p>
      <w:pPr>
        <w:pStyle w:val="Ttulo12"/>
        <w:numPr>
          <w:ilvl w:val="1"/>
          <w:numId w:val="1"/>
        </w:numPr>
        <w:ind w:left="360" w:right="0" w:hanging="360"/>
        <w:rPr>
          <w:highlight w:val="none"/>
          <w:shd w:fill="auto" w:val="clear"/>
        </w:rPr>
      </w:pPr>
      <w:bookmarkStart w:id="86" w:name="__RefHeading___Toc8299_3024895937"/>
      <w:bookmarkStart w:id="87" w:name="_Toc108539650"/>
      <w:bookmarkStart w:id="88" w:name="_Toc155798162"/>
      <w:bookmarkStart w:id="89" w:name="_Toc163657394"/>
      <w:bookmarkEnd w:id="86"/>
      <w:r>
        <w:rPr>
          <w:sz w:val="22"/>
          <w:szCs w:val="22"/>
          <w:shd w:fill="auto" w:val="clear"/>
        </w:rPr>
        <w:t>DAS GARANTIAS</w:t>
      </w:r>
      <w:bookmarkEnd w:id="87"/>
      <w:bookmarkEnd w:id="88"/>
      <w:bookmarkEnd w:id="89"/>
    </w:p>
    <w:p>
      <w:pPr>
        <w:pStyle w:val="Ttulo12"/>
        <w:numPr>
          <w:ilvl w:val="0"/>
          <w:numId w:val="0"/>
        </w:numPr>
        <w:ind w:left="0" w:right="0" w:hanging="0"/>
        <w:rPr>
          <w:sz w:val="22"/>
          <w:szCs w:val="22"/>
        </w:rPr>
      </w:pPr>
      <w:r>
        <w:rPr>
          <w:sz w:val="22"/>
          <w:szCs w:val="22"/>
        </w:rPr>
      </w:r>
    </w:p>
    <w:p>
      <w:pPr>
        <w:pStyle w:val="Ttulo12"/>
        <w:numPr>
          <w:ilvl w:val="0"/>
          <w:numId w:val="0"/>
        </w:numPr>
        <w:ind w:left="0" w:right="0" w:hanging="0"/>
        <w:rPr/>
      </w:pPr>
      <w:bookmarkStart w:id="90" w:name="__RefHeading___Toc7372_3496517312"/>
      <w:bookmarkEnd w:id="90"/>
      <w:r>
        <w:rPr>
          <w:b w:val="false"/>
          <w:bCs w:val="false"/>
          <w:sz w:val="22"/>
          <w:szCs w:val="22"/>
        </w:rPr>
        <w:t>Devida por se tratar de obra de pequeno valor, não será solicitado garantia da contratada.</w:t>
      </w:r>
    </w:p>
    <w:p>
      <w:pPr>
        <w:pStyle w:val="Ttulo12"/>
        <w:numPr>
          <w:ilvl w:val="0"/>
          <w:numId w:val="0"/>
        </w:numPr>
        <w:ind w:left="0" w:right="0" w:hanging="0"/>
        <w:rPr>
          <w:rFonts w:ascii="Arial" w:hAnsi="Arial" w:eastAsia="Arial MT" w:cs="Arial"/>
          <w:b w:val="false"/>
          <w:b w:val="false"/>
          <w:bCs w:val="false"/>
          <w:sz w:val="22"/>
          <w:szCs w:val="22"/>
          <w:lang w:val="pt-PT"/>
        </w:rPr>
      </w:pPr>
      <w:r>
        <w:rPr>
          <w:rFonts w:eastAsia="Arial MT" w:cs="Arial"/>
          <w:b w:val="false"/>
          <w:bCs w:val="false"/>
          <w:sz w:val="22"/>
          <w:szCs w:val="22"/>
          <w:lang w:val="pt-PT"/>
        </w:rPr>
      </w:r>
    </w:p>
    <w:p>
      <w:pPr>
        <w:pStyle w:val="Ttulo12"/>
        <w:numPr>
          <w:ilvl w:val="0"/>
          <w:numId w:val="0"/>
        </w:numPr>
        <w:ind w:left="0" w:right="0" w:hanging="0"/>
        <w:rPr>
          <w:rFonts w:ascii="Arial" w:hAnsi="Arial" w:eastAsia="Arial MT" w:cs="Arial"/>
          <w:b w:val="false"/>
          <w:b w:val="false"/>
          <w:bCs w:val="false"/>
          <w:sz w:val="22"/>
          <w:szCs w:val="22"/>
          <w:lang w:val="pt-PT"/>
        </w:rPr>
      </w:pPr>
      <w:r>
        <w:rPr>
          <w:rFonts w:eastAsia="Arial MT" w:cs="Arial"/>
          <w:b w:val="false"/>
          <w:bCs w:val="false"/>
          <w:sz w:val="22"/>
          <w:szCs w:val="22"/>
          <w:lang w:val="pt-PT"/>
        </w:rPr>
      </w:r>
    </w:p>
    <w:p>
      <w:pPr>
        <w:pStyle w:val="Ttulo12"/>
        <w:numPr>
          <w:ilvl w:val="0"/>
          <w:numId w:val="1"/>
        </w:numPr>
        <w:tabs>
          <w:tab w:val="clear" w:pos="720"/>
          <w:tab w:val="left" w:pos="567" w:leader="none"/>
        </w:tabs>
        <w:spacing w:lineRule="auto" w:line="360" w:before="71" w:after="240"/>
        <w:ind w:left="567" w:right="0" w:hanging="567"/>
        <w:rPr/>
      </w:pPr>
      <w:bookmarkStart w:id="91" w:name="__RefHeading___Toc4259_2660218679"/>
      <w:bookmarkStart w:id="92" w:name="_Toc153229516"/>
      <w:bookmarkStart w:id="93" w:name="_Toc108539644"/>
      <w:bookmarkStart w:id="94" w:name="_Toc163657395"/>
      <w:bookmarkStart w:id="95" w:name="_Toc108539639"/>
      <w:bookmarkEnd w:id="91"/>
      <w:bookmarkEnd w:id="95"/>
      <w:r>
        <w:rPr>
          <w:rFonts w:eastAsia="Arial" w:cs="Arial"/>
          <w:b/>
          <w:bCs/>
          <w:color w:val="auto"/>
          <w:kern w:val="0"/>
          <w:sz w:val="24"/>
          <w:szCs w:val="24"/>
          <w:lang w:val="pt-PT" w:eastAsia="en-US" w:bidi="ar-SA"/>
        </w:rPr>
        <w:t>CRITÉRIOS DE MEDIÇÃO DOS SERVIÇOS  E FORMA DE PAGAMENTO</w:t>
      </w:r>
      <w:bookmarkEnd w:id="92"/>
      <w:bookmarkEnd w:id="93"/>
      <w:bookmarkEnd w:id="94"/>
      <w:r>
        <w:rPr>
          <w:rFonts w:eastAsia="Arial Unicode MS" w:cs="Arial"/>
          <w:color w:val="000000"/>
          <w:shd w:fill="auto" w:val="clear"/>
          <w:lang w:val="pt-PT"/>
        </w:rPr>
        <w:tab/>
      </w:r>
    </w:p>
    <w:p>
      <w:pPr>
        <w:pStyle w:val="Normal"/>
        <w:widowControl w:val="false"/>
        <w:suppressAutoHyphens w:val="true"/>
        <w:bidi w:val="0"/>
        <w:spacing w:lineRule="auto" w:line="360" w:before="240" w:after="240"/>
        <w:ind w:left="0" w:right="0" w:firstLine="567"/>
        <w:jc w:val="both"/>
        <w:rPr>
          <w:color w:val="auto"/>
        </w:rPr>
      </w:pPr>
      <w:r>
        <w:rPr>
          <w:rFonts w:eastAsia="Arial Unicode MS" w:cs="Arial" w:ascii="Arial" w:hAnsi="Arial"/>
          <w:color w:val="000000"/>
          <w:shd w:fill="auto" w:val="clear"/>
          <w:lang w:val="pt-PT"/>
        </w:rPr>
        <w:t xml:space="preserve">O trâmite do faturamento, entre a emissão do boletim de medição e a emissão da nota fiscal da empresa, exigirá intervenção da </w:t>
      </w:r>
      <w:r>
        <w:rPr>
          <w:rFonts w:eastAsia="Arial Unicode MS" w:cs="Arial" w:ascii="Arial" w:hAnsi="Arial"/>
          <w:color w:val="000000"/>
          <w:kern w:val="0"/>
          <w:sz w:val="22"/>
          <w:szCs w:val="22"/>
          <w:shd w:fill="auto" w:val="clear"/>
          <w:lang w:val="pt-PT" w:eastAsia="en-US" w:bidi="ar-SA"/>
        </w:rPr>
        <w:t>DIRETORIA DE OBRAS PARA A SAÚDE</w:t>
      </w:r>
      <w:r>
        <w:rPr>
          <w:rFonts w:eastAsia="Arial Unicode MS" w:cs="Arial" w:ascii="Arial" w:hAnsi="Arial"/>
          <w:color w:val="000000"/>
          <w:shd w:fill="auto" w:val="clear"/>
          <w:lang w:val="pt-PT"/>
        </w:rPr>
        <w:t xml:space="preserve">. Os boletins de medição serão encaminhados pela </w:t>
      </w:r>
      <w:r>
        <w:rPr>
          <w:rFonts w:eastAsia="Arial Unicode MS" w:cs="Arial" w:ascii="Arial" w:hAnsi="Arial"/>
          <w:color w:val="000000"/>
          <w:kern w:val="0"/>
          <w:sz w:val="22"/>
          <w:szCs w:val="22"/>
          <w:shd w:fill="auto" w:val="clear"/>
          <w:lang w:val="pt-PT" w:eastAsia="en-US" w:bidi="ar-SA"/>
        </w:rPr>
        <w:t>DIRETORIA DE OBRAS PARA A SAÚDE</w:t>
      </w:r>
      <w:r>
        <w:rPr>
          <w:rFonts w:eastAsia="Arial Unicode MS" w:cs="Arial" w:ascii="Arial" w:hAnsi="Arial"/>
          <w:color w:val="000000"/>
          <w:shd w:fill="auto" w:val="clear"/>
          <w:lang w:val="pt-PT"/>
        </w:rPr>
        <w:t xml:space="preserve"> ao CENTRO DE HEMATOLOGIA E HEMOTERAPIA – HEMEPAR para verificação e encaminhamento para pagamento dos valores medidos. As notas fiscais deverão ser faturadas em favor do FUNDO ESTADUAL DE SAÚDE, CNPJ </w:t>
      </w:r>
      <w:r>
        <w:rPr>
          <w:rFonts w:eastAsia="Arial Unicode MS" w:cs="Arial" w:ascii="Arial" w:hAnsi="Arial"/>
          <w:b w:val="false"/>
          <w:bCs w:val="false"/>
          <w:i w:val="false"/>
          <w:caps w:val="false"/>
          <w:smallCaps w:val="false"/>
          <w:color w:val="000000"/>
          <w:spacing w:val="0"/>
          <w:kern w:val="0"/>
          <w:sz w:val="22"/>
          <w:szCs w:val="22"/>
          <w:shd w:fill="auto" w:val="clear"/>
          <w:lang w:val="pt-PT" w:eastAsia="en-US" w:bidi="ar-SA"/>
        </w:rPr>
        <w:t>08.597.121/0001-74.</w:t>
      </w:r>
    </w:p>
    <w:p>
      <w:pPr>
        <w:pStyle w:val="Ttulo12"/>
        <w:numPr>
          <w:ilvl w:val="1"/>
          <w:numId w:val="1"/>
        </w:numPr>
        <w:ind w:left="360" w:right="0" w:hanging="360"/>
        <w:rPr>
          <w:sz w:val="22"/>
          <w:szCs w:val="22"/>
        </w:rPr>
      </w:pPr>
      <w:bookmarkStart w:id="96" w:name="__RefHeading___Toc8303_3024895937"/>
      <w:bookmarkStart w:id="97" w:name="_Toc153229518"/>
      <w:bookmarkStart w:id="98" w:name="_Toc163657397"/>
      <w:bookmarkEnd w:id="96"/>
      <w:r>
        <w:rPr>
          <w:sz w:val="22"/>
          <w:szCs w:val="22"/>
        </w:rPr>
        <w:t>MEDIÇÕES DOS SERVIÇOS</w:t>
      </w:r>
      <w:bookmarkEnd w:id="97"/>
      <w:bookmarkEnd w:id="98"/>
    </w:p>
    <w:p>
      <w:pPr>
        <w:pStyle w:val="Ttulo12"/>
        <w:numPr>
          <w:ilvl w:val="0"/>
          <w:numId w:val="0"/>
        </w:numPr>
        <w:ind w:left="1263" w:right="0" w:hanging="0"/>
        <w:rPr>
          <w:sz w:val="22"/>
          <w:szCs w:val="22"/>
        </w:rPr>
      </w:pPr>
      <w:r>
        <w:rPr>
          <w:sz w:val="22"/>
          <w:szCs w:val="22"/>
        </w:rPr>
      </w:r>
    </w:p>
    <w:p>
      <w:pPr>
        <w:pStyle w:val="Corpodotexto"/>
        <w:spacing w:before="0" w:after="240"/>
        <w:ind w:left="113" w:right="113" w:firstLine="709"/>
        <w:rPr>
          <w:lang w:val="pt-BR"/>
        </w:rPr>
      </w:pPr>
      <w:r>
        <w:rPr>
          <w:lang w:val="pt-BR"/>
        </w:rPr>
        <w:t xml:space="preserve">As medições serão conforme o cronograma físico-financeiro apresentado pela LICITANTE e aprovado pela SECRETARIA DAS CIDADES antes da assinatura do contrato, conforme 9. DESCRITIVO DA PROPOSTA . </w:t>
      </w:r>
      <w:r>
        <w:rPr>
          <w:shd w:fill="auto" w:val="clear"/>
          <w:lang w:val="pt-BR"/>
        </w:rPr>
        <w:t xml:space="preserve">As medições serão feitas mensalmente, sempre que as etapas de serviços forem concluídas. </w:t>
      </w:r>
    </w:p>
    <w:p>
      <w:pPr>
        <w:pStyle w:val="Ttulo12"/>
        <w:numPr>
          <w:ilvl w:val="1"/>
          <w:numId w:val="1"/>
        </w:numPr>
        <w:ind w:left="360" w:right="0" w:hanging="360"/>
        <w:rPr/>
      </w:pPr>
      <w:bookmarkStart w:id="99" w:name="__RefHeading___Toc8305_3024895937"/>
      <w:bookmarkStart w:id="100" w:name="_Toc153229519"/>
      <w:bookmarkStart w:id="101" w:name="_Toc163657398"/>
      <w:bookmarkEnd w:id="99"/>
      <w:r>
        <w:rPr>
          <w:sz w:val="22"/>
          <w:szCs w:val="22"/>
        </w:rPr>
        <w:t>FORMA DE PAGAMENTO</w:t>
      </w:r>
      <w:bookmarkEnd w:id="100"/>
      <w:bookmarkEnd w:id="101"/>
    </w:p>
    <w:p>
      <w:pPr>
        <w:pStyle w:val="Ttulo12"/>
        <w:numPr>
          <w:ilvl w:val="0"/>
          <w:numId w:val="0"/>
        </w:numPr>
        <w:ind w:left="1263" w:right="0" w:hanging="0"/>
        <w:rPr>
          <w:sz w:val="22"/>
          <w:szCs w:val="22"/>
        </w:rPr>
      </w:pPr>
      <w:r>
        <w:rPr>
          <w:sz w:val="22"/>
          <w:szCs w:val="22"/>
        </w:rPr>
      </w:r>
    </w:p>
    <w:p>
      <w:pPr>
        <w:pStyle w:val="Normal"/>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spacing w:lineRule="auto" w:line="360" w:before="0" w:after="0"/>
        <w:ind w:left="112" w:right="113" w:firstLine="708"/>
        <w:jc w:val="both"/>
        <w:rPr/>
      </w:pPr>
      <w:r>
        <w:rPr>
          <w:rFonts w:eastAsia="Arial MT" w:cs="Arial" w:ascii="Arial" w:hAnsi="Arial"/>
          <w:lang w:val="pt-PT"/>
        </w:rPr>
        <w:t xml:space="preserve">A </w:t>
      </w:r>
      <w:r>
        <w:rPr>
          <w:rFonts w:eastAsia="Arial MT" w:cs="Arial" w:ascii="Arial" w:hAnsi="Arial"/>
          <w:color w:val="auto"/>
          <w:lang w:val="pt-PT"/>
        </w:rPr>
        <w:t xml:space="preserve">FUNSAÚDE </w:t>
      </w:r>
      <w:r>
        <w:rPr>
          <w:rFonts w:eastAsia="Arial MT" w:cs="Arial" w:ascii="Arial" w:hAnsi="Arial"/>
          <w:lang w:val="pt-PT"/>
        </w:rPr>
        <w:t>pagará à CONTRATADA, pelos serviços executados, enquadrados em regime de execução de empreitada por preço global, o valor global da proposta</w:t>
      </w:r>
      <w:r>
        <w:rPr>
          <w:rFonts w:eastAsia="Arial MT" w:cs="Arial" w:ascii="Arial" w:hAnsi="Arial"/>
        </w:rPr>
        <w:t>,</w:t>
      </w:r>
      <w:r>
        <w:rPr>
          <w:rFonts w:eastAsia="Arial MT" w:cs="Arial" w:ascii="Arial" w:hAnsi="Arial"/>
          <w:lang w:val="pt-PT"/>
        </w:rPr>
        <w:t xml:space="preserve"> ressalvadas as alterações acostadas na Lei Federal nº 14133, de 01º de abril de 2021, Título III Capítulo VII (Art. 124 a Art. 136) regulamentada pelo Decreto 10.086 de 17 de janeiro de 2022. </w:t>
      </w:r>
    </w:p>
    <w:p>
      <w:pPr>
        <w:pStyle w:val="Normal"/>
        <w:tabs>
          <w:tab w:val="clear" w:pos="720"/>
          <w:tab w:val="left" w:pos="0" w:leader="none"/>
          <w:tab w:val="left" w:pos="1134" w:leader="none"/>
          <w:tab w:val="left" w:pos="3024" w:leader="none"/>
          <w:tab w:val="left" w:pos="3744" w:leader="none"/>
          <w:tab w:val="left" w:pos="4464" w:leader="none"/>
          <w:tab w:val="left" w:pos="5184" w:leader="none"/>
          <w:tab w:val="left" w:pos="5904" w:leader="none"/>
          <w:tab w:val="left" w:pos="6624" w:leader="none"/>
        </w:tabs>
        <w:spacing w:lineRule="auto" w:line="360" w:before="0" w:after="0"/>
        <w:ind w:left="112" w:right="113" w:firstLine="708"/>
        <w:jc w:val="both"/>
        <w:rPr>
          <w:rFonts w:ascii="Arial" w:hAnsi="Arial" w:eastAsia="Arial MT" w:cs="Arial"/>
          <w:lang w:val="pt-PT"/>
        </w:rPr>
      </w:pPr>
      <w:r>
        <w:rPr>
          <w:rFonts w:eastAsia="Arial MT" w:cs="Arial" w:ascii="Arial" w:hAnsi="Arial"/>
          <w:lang w:val="pt-PT"/>
        </w:rPr>
        <w:t>Fica expressamente estabelecido que os preços determinados incluem todos os insumos e transportes, bem como impostos, taxas, custos financeiros, lucros e bonificações e despesas necessários à perfeita execução do seu objeto (§3º art. 478 Decreto Estadual nº10.086/20222).</w:t>
      </w:r>
    </w:p>
    <w:p>
      <w:pPr>
        <w:pStyle w:val="Normal"/>
        <w:numPr>
          <w:ilvl w:val="0"/>
          <w:numId w:val="31"/>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shd w:fill="auto" w:val="clear"/>
          <w:lang w:val="pt-PT"/>
        </w:rPr>
      </w:pPr>
      <w:r>
        <w:rPr>
          <w:rFonts w:eastAsia="Arial MT" w:cs="Arial" w:ascii="Arial" w:hAnsi="Arial"/>
          <w:shd w:fill="auto" w:val="clear"/>
          <w:lang w:val="pt-PT"/>
        </w:rPr>
        <w:t>Os pagamentos serão efetuados por meio de medições, que:</w:t>
      </w:r>
    </w:p>
    <w:p>
      <w:pPr>
        <w:pStyle w:val="Normal"/>
        <w:numPr>
          <w:ilvl w:val="0"/>
          <w:numId w:val="7"/>
        </w:numPr>
        <w:tabs>
          <w:tab w:val="clear" w:pos="720"/>
          <w:tab w:val="left" w:pos="0" w:leader="none"/>
          <w:tab w:val="left" w:pos="1483"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985" w:right="113" w:hanging="567"/>
        <w:jc w:val="both"/>
        <w:rPr>
          <w:rFonts w:ascii="Arial" w:hAnsi="Arial" w:eastAsia="Arial MT" w:cs="Arial"/>
          <w:shd w:fill="auto" w:val="clear"/>
          <w:lang w:val="pt-PT"/>
        </w:rPr>
      </w:pPr>
      <w:r>
        <w:rPr>
          <w:rFonts w:eastAsia="Arial MT" w:cs="Arial" w:ascii="Arial" w:hAnsi="Arial"/>
          <w:shd w:fill="auto" w:val="clear"/>
          <w:lang w:val="pt-PT"/>
        </w:rPr>
        <w:t>Corresponderão aos percentuais de desembolso estabelecidos no cronograma físico-financeiro elaborado pela CONTRATADA e aprovado pela SECRETARIA DAS CIDADES, mediante apresentação à fiscalização do contrato, dos documentos hábeis de cobrança, para serviços em regime de empreitada por preço global;</w:t>
      </w:r>
    </w:p>
    <w:p>
      <w:pPr>
        <w:pStyle w:val="Normal"/>
        <w:numPr>
          <w:ilvl w:val="0"/>
          <w:numId w:val="32"/>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A Nota Fiscal/Fatura será emitida pela CONTRADADA de acordo com os seguintes procedimentos:</w:t>
      </w:r>
    </w:p>
    <w:p>
      <w:pPr>
        <w:pStyle w:val="Normal"/>
        <w:widowControl w:val="false"/>
        <w:numPr>
          <w:ilvl w:val="0"/>
          <w:numId w:val="33"/>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Ao final de cada etapa da execução contratual, conforme previsto no Cronograma Físico-Financeiro, a CONTRATADA apresentará a medição prévia dos serviços executados no período, através de planilha e memória de cálculo detalhada;</w:t>
      </w:r>
    </w:p>
    <w:p>
      <w:pPr>
        <w:pStyle w:val="Normal"/>
        <w:widowControl w:val="false"/>
        <w:numPr>
          <w:ilvl w:val="0"/>
          <w:numId w:val="34"/>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Uma etapa será considerada efetivamente concluída quando os serviços previstos para aquela etapa, no Cronograma Físico-Financeiro, estiverem executados em sua totalidade e aprovados pela fiscalização do contrato;</w:t>
      </w:r>
    </w:p>
    <w:p>
      <w:pPr>
        <w:pStyle w:val="Normal"/>
        <w:widowControl w:val="false"/>
        <w:numPr>
          <w:ilvl w:val="0"/>
          <w:numId w:val="35"/>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Juntamente com a primeira medição de serviços, a CONTRATADA deverá apresentar comprovação de matrícula da obra junto à Previdência Social, as ART´s dos engenheiros responsáveis e da execução da obra, bem como toda a documentação legalmente necessária ao início das Obras;</w:t>
      </w:r>
    </w:p>
    <w:p>
      <w:pPr>
        <w:pStyle w:val="Normal"/>
        <w:widowControl w:val="false"/>
        <w:numPr>
          <w:ilvl w:val="0"/>
          <w:numId w:val="36"/>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A CONTRATADA também apresentará, a cada medição, os documentos comprobatórios da procedência legal dos produtos e subprodutos florestais utilizados naquela etapa da execução contratual, quando for o caso;</w:t>
      </w:r>
    </w:p>
    <w:p>
      <w:pPr>
        <w:pStyle w:val="Normal"/>
        <w:widowControl w:val="false"/>
        <w:numPr>
          <w:ilvl w:val="0"/>
          <w:numId w:val="37"/>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A CONTRATADA deverá, a cada medição, apresentar os Boletins de Medição dos Serviços por correspondência eletrônica para análise do fiscal da SECRETARIA DAS CIDADES. Os boletins de medição deverão vir acompanhados de “RELATÓRIO FOTOGRÁFICO COLORIDO”, em papel timbrado da CONTRATADA, enumeradas, informando a etapa correspondente e citando os serviços em cada uma das fotos, na quantidade suficiente que reflitam os itens medidos;</w:t>
      </w:r>
    </w:p>
    <w:p>
      <w:pPr>
        <w:pStyle w:val="Normal"/>
        <w:widowControl w:val="false"/>
        <w:numPr>
          <w:ilvl w:val="0"/>
          <w:numId w:val="38"/>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 xml:space="preserve">Após apresentação da medição, a </w:t>
      </w:r>
      <w:r>
        <w:rPr>
          <w:rFonts w:eastAsia="Arial MT" w:cs="Arial" w:ascii="Arial" w:hAnsi="Arial"/>
          <w:color w:val="auto"/>
          <w:kern w:val="0"/>
          <w:sz w:val="22"/>
          <w:szCs w:val="22"/>
          <w:lang w:val="pt-PT" w:eastAsia="en-US" w:bidi="ar-SA"/>
        </w:rPr>
        <w:t>CONTRATANTE</w:t>
      </w:r>
      <w:r>
        <w:rPr>
          <w:rFonts w:eastAsia="Arial MT" w:cs="Arial" w:ascii="Arial" w:hAnsi="Arial"/>
          <w:lang w:val="pt-PT"/>
        </w:rPr>
        <w:t xml:space="preserve"> poderá aprovar ou rejeitar, no todo ou em parte, a medição prévia relatada pela CONTRATADA, bem como para avaliar a conformidade dos serviços executados, inclusive quanto à obrigação de utilização de produtos e subprodutos florestais de comprovada procedência legal;</w:t>
      </w:r>
    </w:p>
    <w:p>
      <w:pPr>
        <w:pStyle w:val="Normal"/>
        <w:widowControl w:val="false"/>
        <w:numPr>
          <w:ilvl w:val="0"/>
          <w:numId w:val="39"/>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A aprovação da medição prévia apresentada pela CONTRATADA não a exime de qualquer das responsabilidades contratuais, nem implica aceitação definitiva dos serviços executados;</w:t>
      </w:r>
    </w:p>
    <w:p>
      <w:pPr>
        <w:pStyle w:val="Normal"/>
        <w:widowControl w:val="false"/>
        <w:numPr>
          <w:ilvl w:val="0"/>
          <w:numId w:val="40"/>
        </w:numPr>
        <w:suppressAutoHyphens w:val="false"/>
        <w:spacing w:lineRule="auto" w:line="360" w:before="0" w:after="0"/>
        <w:ind w:left="1985" w:right="114" w:hanging="567"/>
        <w:jc w:val="both"/>
        <w:rPr/>
      </w:pPr>
      <w:r>
        <w:rPr>
          <w:rFonts w:eastAsia="Arial MT" w:cs="Arial" w:ascii="Arial" w:hAnsi="Arial"/>
          <w:lang w:val="pt-PT"/>
        </w:rPr>
        <w:t xml:space="preserve">Após a aprovação da medição pelo fiscal da </w:t>
      </w:r>
      <w:r>
        <w:rPr>
          <w:rFonts w:eastAsia="Arial MT" w:cs="Arial" w:ascii="Arial" w:hAnsi="Arial"/>
          <w:color w:val="auto"/>
          <w:kern w:val="0"/>
          <w:sz w:val="22"/>
          <w:szCs w:val="22"/>
          <w:lang w:val="pt-PT" w:eastAsia="en-US" w:bidi="ar-SA"/>
        </w:rPr>
        <w:t>CONTRATANTE</w:t>
      </w:r>
      <w:r>
        <w:rPr>
          <w:rFonts w:eastAsia="Arial MT" w:cs="Arial" w:ascii="Arial" w:hAnsi="Arial"/>
          <w:lang w:val="pt-PT"/>
        </w:rPr>
        <w:t>, através do sistema SGPO, a CONTRATADA emitirá Nota Fiscal/Fatura no valor da medição definitiva aprovada, acompanhada da planilha de medição de serviços e de memória de cálculo detalhada.</w:t>
      </w:r>
    </w:p>
    <w:p>
      <w:pPr>
        <w:pStyle w:val="Normal"/>
        <w:numPr>
          <w:ilvl w:val="0"/>
          <w:numId w:val="41"/>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O pagamento somente será efetuado após o “atesto”, pelo fiscal da obra, da Nota Fiscal/Fatura apresentada pela CONTRATADA, acompanhada dos demais documentos exigidos neste Edital.</w:t>
      </w:r>
    </w:p>
    <w:p>
      <w:pPr>
        <w:pStyle w:val="Normal"/>
        <w:widowControl w:val="false"/>
        <w:numPr>
          <w:ilvl w:val="0"/>
          <w:numId w:val="42"/>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O “atesto” da Nota Fiscal/Fatura fica condicionado à verificação da conformidade da Nota Fiscal/Fatura apresentada pela CONTRATADA com os serviços efetivamente executados, bem como às seguintes comprovações, que deverão obrigatoriamente acompanhá-la:</w:t>
      </w:r>
    </w:p>
    <w:p>
      <w:pPr>
        <w:pStyle w:val="Normal"/>
        <w:widowControl w:val="false"/>
        <w:numPr>
          <w:ilvl w:val="2"/>
          <w:numId w:val="6"/>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Do pagamento da remuneração e das contribuições sociais (Fundo de Garantia do Tempo de Serviço e Previdência Social), correspondentes ao mês da última nota fiscal ou fatura vencida, quanto aos empregados diretamente vinculados à execução contratual, nominalmente identificados;</w:t>
      </w:r>
    </w:p>
    <w:p>
      <w:pPr>
        <w:pStyle w:val="Normal"/>
        <w:widowControl w:val="false"/>
        <w:numPr>
          <w:ilvl w:val="2"/>
          <w:numId w:val="6"/>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Da regularidade fiscal, constatada através de consulta “on-line” ao SIAFIC, ou na impossibilidade de acesso ao referido Sistema, mediante consulta aos sítios eletrônicos oficiais;</w:t>
      </w:r>
    </w:p>
    <w:p>
      <w:pPr>
        <w:pStyle w:val="Normal"/>
        <w:widowControl w:val="false"/>
        <w:numPr>
          <w:ilvl w:val="2"/>
          <w:numId w:val="6"/>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Do cumprimento das obrigações trabalhistas, correspondentes à última nota fiscal ou fatura que tenha sido paga pela Administração.</w:t>
      </w:r>
    </w:p>
    <w:p>
      <w:pPr>
        <w:pStyle w:val="Normal"/>
        <w:numPr>
          <w:ilvl w:val="0"/>
          <w:numId w:val="43"/>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pPr>
        <w:pStyle w:val="Normal"/>
        <w:numPr>
          <w:ilvl w:val="0"/>
          <w:numId w:val="44"/>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 xml:space="preserve">Antes do pagamento, a CONTRATANTE realizará consulta on line ao </w:t>
      </w:r>
      <w:r>
        <w:rPr>
          <w:rFonts w:eastAsia="Arial MT" w:cs="Arial" w:ascii="Arial" w:hAnsi="Arial"/>
          <w:color w:val="auto"/>
          <w:lang w:val="pt-PT"/>
        </w:rPr>
        <w:t xml:space="preserve">SIAFIC </w:t>
      </w:r>
      <w:r>
        <w:rPr>
          <w:rFonts w:eastAsia="Arial MT" w:cs="Arial" w:ascii="Arial" w:hAnsi="Arial"/>
          <w:lang w:val="pt-PT"/>
        </w:rPr>
        <w:t>e, se necessário, aos sítios oficiais, para verificar a manutenção das condições de habilitação da CONTRATADA, devendo o resultado ser impresso, autenticado e juntado ao processo de pagamento.</w:t>
      </w:r>
    </w:p>
    <w:p>
      <w:pPr>
        <w:pStyle w:val="Normal"/>
        <w:numPr>
          <w:ilvl w:val="0"/>
          <w:numId w:val="45"/>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Quando do pagamento, será efetuada a retenção tributária prevista na legislação aplicável, nos termos da Instrução Normativa n° 1.234, de 11 de janeiro de 2012, da Secretaria da Receita Federal do Brasil, inclusive quanto ao artigo 31 da Lei n° 8.212, de 1991.</w:t>
      </w:r>
    </w:p>
    <w:p>
      <w:pPr>
        <w:pStyle w:val="Normal"/>
        <w:widowControl w:val="false"/>
        <w:numPr>
          <w:ilvl w:val="0"/>
          <w:numId w:val="46"/>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Quanto ao Imposto sobre Serviços de Qualquer Natureza (ISSQN), será observado o disposto na Lei Complementar nº. 116, de 2003, e legislação municipal aplicável.</w:t>
      </w:r>
    </w:p>
    <w:p>
      <w:pPr>
        <w:pStyle w:val="Normal"/>
        <w:widowControl w:val="false"/>
        <w:numPr>
          <w:ilvl w:val="0"/>
          <w:numId w:val="47"/>
        </w:numPr>
        <w:suppressAutoHyphens w:val="false"/>
        <w:spacing w:lineRule="auto" w:line="360" w:before="0" w:after="0"/>
        <w:ind w:left="1985" w:right="114" w:hanging="567"/>
        <w:jc w:val="both"/>
        <w:rPr>
          <w:rFonts w:ascii="Arial" w:hAnsi="Arial" w:eastAsia="Arial MT" w:cs="Arial"/>
          <w:lang w:val="pt-PT"/>
        </w:rPr>
      </w:pPr>
      <w:r>
        <w:rPr>
          <w:rFonts w:eastAsia="Arial MT" w:cs="Arial" w:ascii="Arial" w:hAnsi="Arial"/>
          <w:lang w:val="pt-PT"/>
        </w:rPr>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pPr>
        <w:pStyle w:val="Normal"/>
        <w:numPr>
          <w:ilvl w:val="0"/>
          <w:numId w:val="48"/>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O pagamento será efetuado por meio de Ordem Bancária de Crédito, mediante depósito em conta corrente, na agência e estabelecimento bancário indicado pela CONTRATADA, ou por outro meio previsto na legislação vigente.</w:t>
      </w:r>
    </w:p>
    <w:p>
      <w:pPr>
        <w:pStyle w:val="Normal"/>
        <w:numPr>
          <w:ilvl w:val="0"/>
          <w:numId w:val="49"/>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Será considerado como data do pagamento o dia em que constar como emitida a ordem bancária para pagamento.</w:t>
      </w:r>
    </w:p>
    <w:p>
      <w:pPr>
        <w:pStyle w:val="Normal"/>
        <w:numPr>
          <w:ilvl w:val="0"/>
          <w:numId w:val="50"/>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0"/>
        <w:ind w:left="1418" w:right="113" w:hanging="425"/>
        <w:jc w:val="both"/>
        <w:rPr>
          <w:rFonts w:ascii="Arial" w:hAnsi="Arial" w:eastAsia="Arial MT" w:cs="Arial"/>
          <w:lang w:val="pt-PT"/>
        </w:rPr>
      </w:pPr>
      <w:r>
        <w:rPr>
          <w:rFonts w:eastAsia="Arial MT" w:cs="Arial" w:ascii="Arial" w:hAnsi="Arial"/>
          <w:lang w:val="pt-PT"/>
        </w:rPr>
        <w:t>A CONTRATANTE não se responsabilizará por qualquer despesa que venha a ser efetuada pela CONTRATADA, que porventura não tenha sido acordada no contrato.</w:t>
      </w:r>
    </w:p>
    <w:p>
      <w:pPr>
        <w:pStyle w:val="Normal"/>
        <w:numPr>
          <w:ilvl w:val="0"/>
          <w:numId w:val="51"/>
        </w:numPr>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360" w:before="0" w:after="240"/>
        <w:ind w:left="1418" w:right="113" w:hanging="425"/>
        <w:jc w:val="both"/>
        <w:rPr>
          <w:rFonts w:ascii="Arial" w:hAnsi="Arial" w:eastAsia="Arial MT" w:cs="Arial"/>
          <w:lang w:val="pt-PT"/>
        </w:rPr>
      </w:pPr>
      <w:r>
        <w:rPr>
          <w:rFonts w:eastAsia="Arial MT" w:cs="Arial" w:ascii="Arial" w:hAnsi="Arial"/>
          <w:lang w:val="pt-PT"/>
        </w:rPr>
        <w:t>O Critério de Reajustamento de Preços é definido em contrato, garantindo à CONTRATADA a atualidade dos preços praticados, evitando defasagens que possam ocasionar o rompimento da equação originalmente estabelecida.</w:t>
      </w:r>
    </w:p>
    <w:p>
      <w:pPr>
        <w:pStyle w:val="Normal"/>
        <w:tabs>
          <w:tab w:val="clear" w:pos="720"/>
          <w:tab w:val="left" w:pos="0" w:leader="none"/>
          <w:tab w:val="left" w:pos="1418" w:leader="none"/>
          <w:tab w:val="left" w:pos="3024" w:leader="none"/>
          <w:tab w:val="left" w:pos="3744" w:leader="none"/>
          <w:tab w:val="left" w:pos="4464" w:leader="none"/>
          <w:tab w:val="left" w:pos="5184" w:leader="none"/>
          <w:tab w:val="left" w:pos="5904" w:leader="none"/>
          <w:tab w:val="left" w:pos="6624" w:leader="none"/>
        </w:tabs>
        <w:suppressAutoHyphens w:val="false"/>
        <w:spacing w:lineRule="auto" w:line="240" w:before="0" w:after="0"/>
        <w:ind w:left="2533" w:right="113" w:hanging="0"/>
        <w:jc w:val="both"/>
        <w:rPr>
          <w:rFonts w:ascii="Arial" w:hAnsi="Arial" w:eastAsia="Arial MT" w:cs="Arial"/>
          <w:lang w:val="pt-PT"/>
        </w:rPr>
      </w:pPr>
      <w:r>
        <w:rPr>
          <w:rFonts w:eastAsia="Arial MT" w:cs="Arial" w:ascii="Arial" w:hAnsi="Arial"/>
          <w:lang w:val="pt-PT"/>
        </w:rPr>
      </w:r>
    </w:p>
    <w:p>
      <w:pPr>
        <w:pStyle w:val="Ttulo12"/>
        <w:numPr>
          <w:ilvl w:val="0"/>
          <w:numId w:val="1"/>
        </w:numPr>
        <w:tabs>
          <w:tab w:val="clear" w:pos="720"/>
          <w:tab w:val="left" w:pos="567" w:leader="none"/>
        </w:tabs>
        <w:spacing w:before="71" w:after="240"/>
        <w:ind w:left="567" w:right="0" w:hanging="567"/>
        <w:rPr/>
      </w:pPr>
      <w:bookmarkStart w:id="102" w:name="__RefHeading___Toc8307_3024895937"/>
      <w:bookmarkStart w:id="103" w:name="_Toc163657400"/>
      <w:bookmarkEnd w:id="102"/>
      <w:r>
        <w:rPr>
          <w:rFonts w:eastAsia="Arial" w:cs="Arial"/>
          <w:b/>
          <w:bCs/>
          <w:color w:val="auto"/>
          <w:kern w:val="0"/>
          <w:sz w:val="24"/>
          <w:szCs w:val="24"/>
          <w:lang w:val="pt-PT" w:eastAsia="en-US" w:bidi="ar-SA"/>
        </w:rPr>
        <w:t xml:space="preserve">FORMA E CRITÉRIO DE SELEÇÃO DO </w:t>
      </w:r>
      <w:bookmarkEnd w:id="103"/>
      <w:r>
        <w:rPr>
          <w:rFonts w:eastAsia="Arial" w:cs="Arial"/>
          <w:b/>
          <w:bCs/>
          <w:color w:val="auto"/>
          <w:kern w:val="0"/>
          <w:sz w:val="24"/>
          <w:szCs w:val="24"/>
          <w:lang w:val="pt-PT" w:eastAsia="en-US" w:bidi="ar-SA"/>
        </w:rPr>
        <w:t xml:space="preserve">FORNECEDOR </w:t>
      </w:r>
    </w:p>
    <w:p>
      <w:pPr>
        <w:pStyle w:val="Corpodotexto"/>
        <w:widowControl w:val="false"/>
        <w:suppressAutoHyphens w:val="true"/>
        <w:bidi w:val="0"/>
        <w:spacing w:lineRule="auto" w:line="360" w:before="240" w:after="240"/>
        <w:ind w:left="0" w:right="0" w:firstLine="567"/>
        <w:jc w:val="both"/>
        <w:rPr>
          <w:color w:val="auto"/>
        </w:rPr>
      </w:pPr>
      <w:r>
        <w:rPr>
          <w:rFonts w:eastAsia="Arial Unicode MS" w:cs="Arial"/>
          <w:color w:val="000000"/>
          <w:sz w:val="22"/>
          <w:szCs w:val="22"/>
          <w:shd w:fill="auto" w:val="clear"/>
          <w:lang w:val="pt-PT"/>
        </w:rPr>
        <w:t>A forma e os critérios para seleção de fornecedores seguirão as definições e os parâmetros constantes na Lei Federal 14.133 em seu Título I capítulo III (Art.6º) e Título II capítulo VI (Art.67), que trata sobre a documentação relativa à qualificação técnico-profissional e técnico-operacional .</w:t>
      </w:r>
    </w:p>
    <w:p>
      <w:pPr>
        <w:pStyle w:val="Ttulo12"/>
        <w:widowControl w:val="false"/>
        <w:numPr>
          <w:ilvl w:val="1"/>
          <w:numId w:val="1"/>
        </w:numPr>
        <w:tabs>
          <w:tab w:val="clear" w:pos="720"/>
          <w:tab w:val="left" w:pos="1020" w:leader="none"/>
        </w:tabs>
        <w:suppressAutoHyphens w:val="true"/>
        <w:overflowPunct w:val="true"/>
        <w:bidi w:val="0"/>
        <w:spacing w:lineRule="auto" w:line="240" w:before="0" w:after="0"/>
        <w:ind w:left="794" w:right="0" w:hanging="794"/>
        <w:jc w:val="left"/>
        <w:rPr>
          <w:color w:val="auto"/>
        </w:rPr>
      </w:pPr>
      <w:bookmarkStart w:id="104" w:name="__RefHeading___Toc8313_3024895937"/>
      <w:bookmarkStart w:id="105" w:name="_Toc108539656"/>
      <w:bookmarkStart w:id="106" w:name="_Toc163657403"/>
      <w:bookmarkEnd w:id="104"/>
      <w:r>
        <w:rPr>
          <w:rFonts w:eastAsia="Arial" w:cs="Arial"/>
          <w:b/>
          <w:bCs/>
          <w:color w:val="000000"/>
          <w:kern w:val="0"/>
          <w:sz w:val="22"/>
          <w:szCs w:val="22"/>
          <w:shd w:fill="auto" w:val="clear"/>
          <w:lang w:val="pt-PT" w:eastAsia="en-US" w:bidi="ar-SA"/>
        </w:rPr>
        <w:t>AVALIAÇÃO DA CAPACIDADE OPERACIONAL DA EMPRESA PARA A EXECUÇÃO DE OBRA</w:t>
      </w:r>
      <w:bookmarkEnd w:id="105"/>
      <w:bookmarkEnd w:id="106"/>
    </w:p>
    <w:p>
      <w:pPr>
        <w:pStyle w:val="Corpodotexto"/>
        <w:rPr>
          <w:b w:val="false"/>
          <w:b w:val="false"/>
          <w:bCs w:val="false"/>
        </w:rPr>
      </w:pPr>
      <w:r>
        <w:rPr>
          <w:b w:val="false"/>
          <w:bCs w:val="false"/>
        </w:rPr>
      </w:r>
    </w:p>
    <w:p>
      <w:pPr>
        <w:pStyle w:val="Corpodotexto"/>
        <w:rPr>
          <w:b w:val="false"/>
          <w:b w:val="false"/>
          <w:bCs w:val="false"/>
        </w:rPr>
      </w:pPr>
      <w:bookmarkStart w:id="107" w:name="__RefHeading___Toc7374_3496517312"/>
      <w:bookmarkEnd w:id="107"/>
      <w:r>
        <w:rPr/>
        <w:t>10.2.1 A documentação relativa à Capacidade Técnica Operacional consistirá em:</w:t>
      </w:r>
    </w:p>
    <w:p>
      <w:pPr>
        <w:pStyle w:val="Corpodotexto"/>
        <w:rPr>
          <w:b w:val="false"/>
          <w:b w:val="false"/>
          <w:bCs w:val="false"/>
        </w:rPr>
      </w:pPr>
      <w:r>
        <w:rPr>
          <w:b w:val="false"/>
          <w:bCs w:val="false"/>
        </w:rPr>
      </w:r>
    </w:p>
    <w:p>
      <w:pPr>
        <w:pStyle w:val="Corpodotexto"/>
        <w:rPr>
          <w:b w:val="false"/>
          <w:b w:val="false"/>
          <w:bCs w:val="false"/>
        </w:rPr>
      </w:pPr>
      <w:bookmarkStart w:id="108" w:name="__RefHeading___Toc7376_3496517312"/>
      <w:bookmarkEnd w:id="108"/>
      <w:r>
        <w:rPr/>
        <w:t>a) Certidão de Registro de Pessoa Jurídica com a regularidade do licitante junto ao Conselho Regional de Engenharia e Agronomia – CREA e/ou Conselho de Arquitetura e Urbanismo – CAU, dentro de seu prazo de validade e com jurisdição na sua sede.</w:t>
      </w:r>
    </w:p>
    <w:p>
      <w:pPr>
        <w:pStyle w:val="Corpodotexto"/>
        <w:rPr>
          <w:b w:val="false"/>
          <w:b w:val="false"/>
          <w:bCs w:val="false"/>
        </w:rPr>
      </w:pPr>
      <w:bookmarkStart w:id="109" w:name="__RefHeading___Toc7378_3496517312"/>
      <w:bookmarkEnd w:id="109"/>
      <w:r>
        <w:rPr/>
        <w:t>a.1) Em se tratando de empresa de engenharia não registrada no CREA do Estado do Paraná, deverá apresentar o registro do CREA do Estado de origem, ficando a licitante vencedora obrigada a apresentar o visto do CREA do Paraná antes da assinatura do contrato.</w:t>
      </w:r>
    </w:p>
    <w:p>
      <w:pPr>
        <w:pStyle w:val="Corpodotexto"/>
        <w:rPr>
          <w:b w:val="false"/>
          <w:b w:val="false"/>
          <w:bCs w:val="false"/>
        </w:rPr>
      </w:pPr>
      <w:bookmarkStart w:id="110" w:name="__RefHeading___Toc7380_3496517312"/>
      <w:bookmarkEnd w:id="110"/>
      <w:r>
        <w:rPr/>
        <w:t>b) 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e/ou pelo conselho profissional competente, quando for o caso.</w:t>
      </w:r>
    </w:p>
    <w:p>
      <w:pPr>
        <w:pStyle w:val="Corpodotexto"/>
        <w:rPr>
          <w:b w:val="false"/>
          <w:b w:val="false"/>
          <w:bCs w:val="false"/>
        </w:rPr>
      </w:pPr>
      <w:bookmarkStart w:id="111" w:name="__RefHeading___Toc7382_3496517312"/>
      <w:bookmarkEnd w:id="111"/>
      <w:r>
        <w:rPr/>
        <w:t>c) Declaração formal assinada pelo responsável técnico do licitante acerca do conhecimento pleno das condições e peculiaridades da contratação, conforme Anexo VII.</w:t>
      </w:r>
    </w:p>
    <w:p>
      <w:pPr>
        <w:pStyle w:val="Corpodotexto"/>
        <w:rPr>
          <w:b w:val="false"/>
          <w:b w:val="false"/>
          <w:bCs w:val="false"/>
        </w:rPr>
      </w:pPr>
      <w:bookmarkStart w:id="112" w:name="__RefHeading___Toc7384_3496517312"/>
      <w:bookmarkEnd w:id="112"/>
      <w:r>
        <w:rPr/>
        <w:t>c.1) A Declaração é um documento indispensável a ser entregue, sendo que a sua ausência inabilitará o Licitante.</w:t>
      </w:r>
    </w:p>
    <w:p>
      <w:pPr>
        <w:pStyle w:val="Corpodotexto"/>
        <w:rPr>
          <w:b w:val="false"/>
          <w:b w:val="false"/>
          <w:bCs w:val="false"/>
        </w:rPr>
      </w:pPr>
      <w:bookmarkStart w:id="113" w:name="__RefHeading___Toc7386_3496517312"/>
      <w:bookmarkEnd w:id="113"/>
      <w:r>
        <w:rPr/>
        <w:t>d) A vistoria técnica terá por finalidade:</w:t>
      </w:r>
    </w:p>
    <w:p>
      <w:pPr>
        <w:pStyle w:val="Corpodotexto"/>
        <w:rPr>
          <w:b w:val="false"/>
          <w:b w:val="false"/>
          <w:bCs w:val="false"/>
        </w:rPr>
      </w:pPr>
      <w:bookmarkStart w:id="114" w:name="__RefHeading___Toc7388_3496517312"/>
      <w:bookmarkEnd w:id="114"/>
      <w:r>
        <w:rPr/>
        <w:t>d.1) Conhecimento das condições locais onde será prestado o serviço, para efetuar as medições e conferências que se fizerem necessárias para a correta elaboração de sua proposta, bem como para solicitação de outros esclarecimentos que julgarem necessários.</w:t>
      </w:r>
    </w:p>
    <w:p>
      <w:pPr>
        <w:pStyle w:val="Corpodotexto"/>
        <w:rPr>
          <w:b w:val="false"/>
          <w:b w:val="false"/>
          <w:bCs w:val="false"/>
        </w:rPr>
      </w:pPr>
      <w:bookmarkStart w:id="115" w:name="__RefHeading___Toc7390_3496517312"/>
      <w:bookmarkEnd w:id="115"/>
      <w:r>
        <w:rPr/>
        <w:t>d.2) Alegações posteriores relacionadas com o desconhecimento das condições locais pertinentes à execução do objeto, não serão argumentos válidos para reclamações futuras, nem desobrigam a execução do serviço. Todas as ocorrências pertinentes ao escopo dos serviços, a partir da assinatura do contrato, serão de responsabilidade do contratado.</w:t>
      </w:r>
    </w:p>
    <w:p>
      <w:pPr>
        <w:pStyle w:val="Corpodotexto"/>
        <w:rPr>
          <w:b w:val="false"/>
          <w:b w:val="false"/>
          <w:bCs w:val="false"/>
        </w:rPr>
      </w:pPr>
      <w:r>
        <w:rPr>
          <w:b w:val="false"/>
          <w:bCs w:val="false"/>
        </w:rPr>
      </w:r>
    </w:p>
    <w:p>
      <w:pPr>
        <w:pStyle w:val="Ttulo12"/>
        <w:numPr>
          <w:ilvl w:val="1"/>
          <w:numId w:val="1"/>
        </w:numPr>
        <w:ind w:left="360" w:right="0" w:hanging="360"/>
        <w:rPr>
          <w:sz w:val="22"/>
          <w:szCs w:val="22"/>
        </w:rPr>
      </w:pPr>
      <w:bookmarkStart w:id="116" w:name="__RefHeading___Toc8311_3024895937"/>
      <w:bookmarkStart w:id="117" w:name="_Toc108539655"/>
      <w:bookmarkStart w:id="118" w:name="_Toc163657402"/>
      <w:bookmarkEnd w:id="116"/>
      <w:r>
        <w:rPr/>
        <w:t>AVALIAÇÃO DA TÉCNICA DO PROFISSIONAL DA EMPRESA PARA EXECUÇÃO DA OBRA</w:t>
      </w:r>
      <w:bookmarkEnd w:id="117"/>
      <w:bookmarkEnd w:id="118"/>
    </w:p>
    <w:p>
      <w:pPr>
        <w:pStyle w:val="Corpodotexto"/>
        <w:rPr>
          <w:sz w:val="22"/>
          <w:szCs w:val="22"/>
        </w:rPr>
      </w:pPr>
      <w:r>
        <w:rPr>
          <w:sz w:val="22"/>
          <w:szCs w:val="22"/>
        </w:rPr>
      </w:r>
    </w:p>
    <w:p>
      <w:pPr>
        <w:pStyle w:val="Corpodotexto"/>
        <w:rPr>
          <w:b w:val="false"/>
          <w:b w:val="false"/>
          <w:bCs w:val="false"/>
          <w:sz w:val="22"/>
          <w:szCs w:val="22"/>
        </w:rPr>
      </w:pPr>
      <w:bookmarkStart w:id="119" w:name="__RefHeading___Toc7392_3496517312"/>
      <w:bookmarkEnd w:id="119"/>
      <w:r>
        <w:rPr/>
        <w:t>10.3.1 A documentação relativa à Capacidade Técnica Profissional consistirá em:</w:t>
      </w:r>
    </w:p>
    <w:p>
      <w:pPr>
        <w:pStyle w:val="Corpodotexto"/>
        <w:rPr>
          <w:b w:val="false"/>
          <w:b w:val="false"/>
          <w:bCs w:val="false"/>
          <w:sz w:val="22"/>
          <w:szCs w:val="22"/>
        </w:rPr>
      </w:pPr>
      <w:bookmarkStart w:id="120" w:name="__RefHeading___Toc7394_3496517312"/>
      <w:bookmarkEnd w:id="120"/>
      <w:r>
        <w:rPr/>
        <w:t>a) A declaração de Responsabilidade Técnica, conforme Anexo V.</w:t>
      </w:r>
    </w:p>
    <w:p>
      <w:pPr>
        <w:pStyle w:val="Corpodotexto"/>
        <w:rPr>
          <w:b w:val="false"/>
          <w:b w:val="false"/>
          <w:bCs w:val="false"/>
          <w:sz w:val="22"/>
          <w:szCs w:val="22"/>
        </w:rPr>
      </w:pPr>
      <w:bookmarkStart w:id="121" w:name="__RefHeading___Toc7396_3496517312"/>
      <w:bookmarkEnd w:id="121"/>
      <w:r>
        <w:rPr/>
        <w:t>b) A comprovação do(s) profissional(is) de nível superior, ou outro devidamente reconhecido pela entidade competente, detentor(es) do(s) Acervo(s) de Responsabilidade Técnica pela execução dos serviços constantes na alínea “b” do item 10.2.1, com a comprovação de pertencer ao quadro permanente do licitante, conforme abaixo:</w:t>
      </w:r>
    </w:p>
    <w:p>
      <w:pPr>
        <w:pStyle w:val="Corpodotexto"/>
        <w:rPr>
          <w:b w:val="false"/>
          <w:b w:val="false"/>
          <w:bCs w:val="false"/>
          <w:sz w:val="22"/>
          <w:szCs w:val="22"/>
        </w:rPr>
      </w:pPr>
      <w:bookmarkStart w:id="122" w:name="__RefHeading___Toc7398_3496517312"/>
      <w:bookmarkEnd w:id="122"/>
      <w:r>
        <w:rPr>
          <w:b w:val="false"/>
          <w:bCs w:val="false"/>
          <w:sz w:val="22"/>
          <w:szCs w:val="22"/>
        </w:rPr>
        <w:t>b.</w:t>
      </w:r>
      <w:r>
        <w:rPr>
          <w:rFonts w:eastAsia="Arial" w:cs="Arial"/>
          <w:b w:val="false"/>
          <w:bCs w:val="false"/>
          <w:color w:val="auto"/>
          <w:kern w:val="0"/>
          <w:sz w:val="22"/>
          <w:szCs w:val="22"/>
          <w:lang w:val="pt-PT" w:eastAsia="en-US" w:bidi="ar-SA"/>
        </w:rPr>
        <w:t>1</w:t>
      </w:r>
      <w:r>
        <w:rPr>
          <w:b w:val="false"/>
          <w:bCs w:val="false"/>
          <w:sz w:val="22"/>
          <w:szCs w:val="22"/>
        </w:rPr>
        <w:t>) Profissional Engenheiro Eletricista detentor do Acervo de Responsabilidade Técnica pela execução dos serviços constantes na alínea “b” do item 10.2.1.</w:t>
      </w:r>
    </w:p>
    <w:p>
      <w:pPr>
        <w:pStyle w:val="Corpodotexto"/>
        <w:rPr>
          <w:rFonts w:ascii="Arial" w:hAnsi="Arial" w:eastAsia="Arial" w:cs="Arial"/>
          <w:b w:val="false"/>
          <w:b w:val="false"/>
          <w:bCs w:val="false"/>
          <w:color w:val="auto"/>
          <w:kern w:val="0"/>
          <w:sz w:val="22"/>
          <w:szCs w:val="22"/>
          <w:lang w:val="pt-PT" w:eastAsia="en-US" w:bidi="ar-SA"/>
        </w:rPr>
      </w:pPr>
      <w:r>
        <w:rPr>
          <w:rFonts w:eastAsia="Arial" w:cs="Arial"/>
          <w:b w:val="false"/>
          <w:bCs w:val="false"/>
          <w:color w:val="auto"/>
          <w:kern w:val="0"/>
          <w:sz w:val="22"/>
          <w:szCs w:val="22"/>
          <w:lang w:val="pt-PT" w:eastAsia="en-US" w:bidi="ar-SA"/>
        </w:rPr>
      </w:r>
    </w:p>
    <w:p>
      <w:pPr>
        <w:pStyle w:val="Corpodotexto"/>
        <w:rPr>
          <w:rFonts w:ascii="Arial" w:hAnsi="Arial" w:eastAsia="Arial" w:cs="Arial"/>
          <w:b w:val="false"/>
          <w:b w:val="false"/>
          <w:bCs w:val="false"/>
          <w:color w:val="auto"/>
          <w:kern w:val="0"/>
          <w:sz w:val="22"/>
          <w:szCs w:val="22"/>
          <w:lang w:val="pt-PT" w:eastAsia="en-US" w:bidi="ar-SA"/>
        </w:rPr>
      </w:pPr>
      <w:bookmarkStart w:id="123" w:name="__RefHeading___Toc7400_3496517312"/>
      <w:bookmarkEnd w:id="123"/>
      <w:r>
        <w:rPr/>
        <w:t>a) A comprovação de pertencer ao quadro permanente da empresa deverá ser feita mediante uma das seguintes formas:</w:t>
      </w:r>
    </w:p>
    <w:p>
      <w:pPr>
        <w:pStyle w:val="Corpodotexto"/>
        <w:rPr>
          <w:rFonts w:ascii="Arial" w:hAnsi="Arial" w:eastAsia="Arial" w:cs="Arial"/>
          <w:b w:val="false"/>
          <w:b w:val="false"/>
          <w:bCs w:val="false"/>
          <w:color w:val="auto"/>
          <w:kern w:val="0"/>
          <w:sz w:val="22"/>
          <w:szCs w:val="22"/>
          <w:lang w:val="pt-PT" w:eastAsia="en-US" w:bidi="ar-SA"/>
        </w:rPr>
      </w:pPr>
      <w:bookmarkStart w:id="124" w:name="__RefHeading___Toc7402_3496517312"/>
      <w:bookmarkEnd w:id="124"/>
      <w:r>
        <w:rPr/>
        <w:t xml:space="preserve">        </w:t>
      </w:r>
      <w:r>
        <w:rPr/>
        <w:t>a.1) Carteira de Trabalho;</w:t>
      </w:r>
    </w:p>
    <w:p>
      <w:pPr>
        <w:pStyle w:val="Corpodotexto"/>
        <w:rPr>
          <w:b w:val="false"/>
          <w:b w:val="false"/>
          <w:bCs w:val="false"/>
          <w:sz w:val="22"/>
          <w:szCs w:val="22"/>
        </w:rPr>
      </w:pPr>
      <w:bookmarkStart w:id="125" w:name="__RefHeading___Toc7404_3496517312"/>
      <w:bookmarkEnd w:id="125"/>
      <w:r>
        <w:rPr/>
        <w:t xml:space="preserve">        </w:t>
      </w:r>
      <w:r>
        <w:rPr/>
        <w:t>a.2) Certidão do CREA;</w:t>
      </w:r>
    </w:p>
    <w:p>
      <w:pPr>
        <w:pStyle w:val="Corpodotexto"/>
        <w:rPr>
          <w:b w:val="false"/>
          <w:b w:val="false"/>
          <w:bCs w:val="false"/>
          <w:sz w:val="22"/>
          <w:szCs w:val="22"/>
        </w:rPr>
      </w:pPr>
      <w:bookmarkStart w:id="126" w:name="__RefHeading___Toc7406_3496517312"/>
      <w:bookmarkEnd w:id="126"/>
      <w:r>
        <w:rPr/>
        <w:t xml:space="preserve">        </w:t>
      </w:r>
      <w:r>
        <w:rPr/>
        <w:t>a.3) Certidão do CAU;</w:t>
      </w:r>
    </w:p>
    <w:p>
      <w:pPr>
        <w:pStyle w:val="Corpodotexto"/>
        <w:rPr>
          <w:b w:val="false"/>
          <w:b w:val="false"/>
          <w:bCs w:val="false"/>
          <w:sz w:val="22"/>
          <w:szCs w:val="22"/>
        </w:rPr>
      </w:pPr>
      <w:bookmarkStart w:id="127" w:name="__RefHeading___Toc7408_3496517312"/>
      <w:bookmarkEnd w:id="127"/>
      <w:r>
        <w:rPr/>
        <w:t xml:space="preserve">        </w:t>
      </w:r>
      <w:r>
        <w:rPr/>
        <w:t>a.4) Contrato Social;</w:t>
      </w:r>
    </w:p>
    <w:p>
      <w:pPr>
        <w:pStyle w:val="Corpodotexto"/>
        <w:rPr>
          <w:b w:val="false"/>
          <w:b w:val="false"/>
          <w:bCs w:val="false"/>
          <w:sz w:val="22"/>
          <w:szCs w:val="22"/>
        </w:rPr>
      </w:pPr>
      <w:bookmarkStart w:id="128" w:name="__RefHeading___Toc7410_3496517312"/>
      <w:bookmarkEnd w:id="128"/>
      <w:r>
        <w:rPr/>
        <w:t xml:space="preserve">        </w:t>
      </w:r>
      <w:r>
        <w:rPr/>
        <w:t>a.5) Contrato de prestação de serviços;</w:t>
      </w:r>
    </w:p>
    <w:p>
      <w:pPr>
        <w:pStyle w:val="Corpodotexto"/>
        <w:rPr>
          <w:b w:val="false"/>
          <w:b w:val="false"/>
          <w:bCs w:val="false"/>
          <w:sz w:val="22"/>
          <w:szCs w:val="22"/>
        </w:rPr>
      </w:pPr>
      <w:bookmarkStart w:id="129" w:name="__RefHeading___Toc7412_3496517312"/>
      <w:bookmarkEnd w:id="129"/>
      <w:r>
        <w:rPr/>
        <w:t xml:space="preserve">        </w:t>
      </w:r>
      <w:r>
        <w:rPr/>
        <w:t>a.6) Contrato de Trabalho registrado na DRT;</w:t>
      </w:r>
    </w:p>
    <w:p>
      <w:pPr>
        <w:pStyle w:val="Corpodotexto"/>
        <w:rPr>
          <w:b w:val="false"/>
          <w:b w:val="false"/>
          <w:bCs w:val="false"/>
          <w:sz w:val="22"/>
          <w:szCs w:val="22"/>
        </w:rPr>
      </w:pPr>
      <w:bookmarkStart w:id="130" w:name="__RefHeading___Toc7414_3496517312"/>
      <w:bookmarkEnd w:id="130"/>
      <w:r>
        <w:rPr/>
        <w:t>a.7) Termo, por meio do qual o(s) profissional(is) assuma(m) a responsabilidade técnica pela obra ou serviço licitado e o compromisso de integrar(em) o quadro técnico da empresa, no caso do objeto contratual vir a ser a esta adjudicado. O presente Termo pode ser suprido pela assinatura no Anexo V do(s) profissional(is) que será(ão) responsável(is) pela obra.</w:t>
      </w:r>
    </w:p>
    <w:p>
      <w:pPr>
        <w:pStyle w:val="Corpodotexto"/>
        <w:rPr>
          <w:b w:val="false"/>
          <w:b w:val="false"/>
          <w:bCs w:val="false"/>
          <w:sz w:val="22"/>
          <w:szCs w:val="22"/>
        </w:rPr>
      </w:pPr>
      <w:bookmarkStart w:id="131" w:name="__RefHeading___Toc7416_3496517312"/>
      <w:bookmarkEnd w:id="131"/>
      <w:r>
        <w:rPr/>
        <w:t>b) O(s) profissional(is) indicado(s) pelo Licitante para fins de comprovação da capacitação deverá(ão) participar da obra ou serviço objeto da licitação.</w:t>
      </w:r>
    </w:p>
    <w:p>
      <w:pPr>
        <w:pStyle w:val="Corpodotexto"/>
        <w:rPr>
          <w:b w:val="false"/>
          <w:b w:val="false"/>
          <w:bCs w:val="false"/>
          <w:sz w:val="22"/>
          <w:szCs w:val="22"/>
        </w:rPr>
      </w:pPr>
      <w:bookmarkStart w:id="132" w:name="__RefHeading___Toc7418_3496517312"/>
      <w:bookmarkEnd w:id="132"/>
      <w:r>
        <w:rPr/>
        <w:t>c)  Deverá ser apresentado, no mínimo, um acervo técnico desse(s) profissional(is) devidamente acervado(s) pelo CREA e/ou pelo CAU, com comprovação de execução dos serviços constantes na alínea “b” do item 10.2.1.</w:t>
      </w:r>
    </w:p>
    <w:p>
      <w:pPr>
        <w:pStyle w:val="Corpodotexto"/>
        <w:rPr>
          <w:b w:val="false"/>
          <w:b w:val="false"/>
          <w:bCs w:val="false"/>
          <w:sz w:val="22"/>
          <w:szCs w:val="22"/>
        </w:rPr>
      </w:pPr>
      <w:bookmarkStart w:id="133" w:name="__RefHeading___Toc7420_3496517312"/>
      <w:bookmarkEnd w:id="133"/>
      <w:r>
        <w:rPr/>
        <w:t>d) Apresentar a(s) Certidão(ões) de Registro de Pessoa Física com a regularidade do(s) profissional(is) indicado(s) pelo Licitante junto ao Conselho Regional de Engenharia e Agronomia – CREA e/ou Conselho de Arquitetura e Urbanismo – CAU, dentro de seu prazo de validade.</w:t>
      </w:r>
    </w:p>
    <w:p>
      <w:pPr>
        <w:pStyle w:val="Corpodotexto"/>
        <w:rPr>
          <w:b w:val="false"/>
          <w:b w:val="false"/>
          <w:bCs w:val="false"/>
          <w:sz w:val="22"/>
          <w:szCs w:val="22"/>
        </w:rPr>
      </w:pPr>
      <w:r>
        <w:rPr>
          <w:b w:val="false"/>
          <w:bCs w:val="false"/>
          <w:sz w:val="22"/>
          <w:szCs w:val="22"/>
        </w:rPr>
      </w:r>
    </w:p>
    <w:p>
      <w:pPr>
        <w:pStyle w:val="Corpodotexto"/>
        <w:rPr>
          <w:b w:val="false"/>
          <w:b w:val="false"/>
          <w:bCs w:val="false"/>
          <w:sz w:val="22"/>
          <w:szCs w:val="22"/>
        </w:rPr>
      </w:pPr>
      <w:bookmarkStart w:id="134" w:name="__RefHeading___Toc7422_3496517312"/>
      <w:bookmarkEnd w:id="134"/>
      <w:r>
        <w:rPr/>
        <w:tab/>
        <w:t>Demais documentos que o licitante arrematante deverá entregar:</w:t>
      </w:r>
    </w:p>
    <w:p>
      <w:pPr>
        <w:pStyle w:val="Corpodotexto"/>
        <w:rPr>
          <w:b w:val="false"/>
          <w:b w:val="false"/>
          <w:bCs w:val="false"/>
          <w:sz w:val="22"/>
          <w:szCs w:val="22"/>
        </w:rPr>
      </w:pPr>
      <w:bookmarkStart w:id="135" w:name="__RefHeading___Toc7424_3496517312"/>
      <w:bookmarkEnd w:id="135"/>
      <w:r>
        <w:rPr/>
        <w:t>1. Declaração de Cumprimento de Exigências Legais e Constitucionais (Anexo VI).</w:t>
      </w:r>
    </w:p>
    <w:p>
      <w:pPr>
        <w:pStyle w:val="Corpodotexto"/>
        <w:rPr>
          <w:b w:val="false"/>
          <w:b w:val="false"/>
          <w:bCs w:val="false"/>
          <w:sz w:val="22"/>
          <w:szCs w:val="22"/>
        </w:rPr>
      </w:pPr>
      <w:bookmarkStart w:id="136" w:name="__RefHeading___Toc7426_3496517312"/>
      <w:bookmarkEnd w:id="136"/>
      <w:r>
        <w:rPr/>
        <w:t>2. Declaração de que o Licitante se compromete a comprovar, quando da assinatura do contrato, os vínculos, empregatícios ou contratuais, da equipe técnica, no caso de ser a vencedora da presente licitação (Anexo V).</w:t>
      </w:r>
    </w:p>
    <w:p>
      <w:pPr>
        <w:pStyle w:val="Corpodotexto"/>
        <w:rPr>
          <w:b w:val="false"/>
          <w:b w:val="false"/>
          <w:bCs w:val="false"/>
          <w:sz w:val="22"/>
          <w:szCs w:val="22"/>
        </w:rPr>
      </w:pPr>
      <w:bookmarkStart w:id="137" w:name="__RefHeading___Toc7428_3496517312"/>
      <w:bookmarkEnd w:id="137"/>
      <w:r>
        <w:rPr/>
        <w:t>3. Declaração de que não possui, em seu quadro funcional, menores de dezoito anos em trabalho noturno, perigoso ou insalubre, nem menores de dezesseis anos, em qualquer trabalho, salvo na condição de aprendiz, a partir de quatorze anos (Lei Federal n.º 9.854 de 27/10/1999) (Anexo VI).</w:t>
      </w:r>
    </w:p>
    <w:p>
      <w:pPr>
        <w:pStyle w:val="Corpodotexto"/>
        <w:rPr>
          <w:b w:val="false"/>
          <w:b w:val="false"/>
          <w:bCs w:val="false"/>
          <w:sz w:val="22"/>
          <w:szCs w:val="22"/>
        </w:rPr>
      </w:pPr>
      <w:bookmarkStart w:id="138" w:name="__RefHeading___Toc7430_3496517312"/>
      <w:bookmarkEnd w:id="138"/>
      <w:r>
        <w:rPr/>
        <w:t>4. Os documentos solicitados acima, quando couber, devem estar devidamente assinados, quando necessário.</w:t>
      </w:r>
    </w:p>
    <w:p>
      <w:pPr>
        <w:pStyle w:val="Corpodotexto"/>
        <w:rPr>
          <w:b w:val="false"/>
          <w:b w:val="false"/>
          <w:bCs w:val="false"/>
          <w:sz w:val="22"/>
          <w:szCs w:val="22"/>
        </w:rPr>
      </w:pPr>
      <w:bookmarkStart w:id="139" w:name="__RefHeading___Toc7432_3496517312"/>
      <w:bookmarkEnd w:id="139"/>
      <w:r>
        <w:rPr/>
        <w:t>5. Declaração de Compromisso de Utilização de Produtos e Subprodutos de Madeira e de Gerenciamento de Resíduos da Construção Civil (Anexo VIII).</w:t>
      </w:r>
    </w:p>
    <w:p>
      <w:pPr>
        <w:pStyle w:val="Corpodotexto"/>
        <w:rPr>
          <w:b w:val="false"/>
          <w:b w:val="false"/>
          <w:bCs w:val="false"/>
          <w:sz w:val="22"/>
          <w:szCs w:val="22"/>
        </w:rPr>
      </w:pPr>
      <w:bookmarkStart w:id="140" w:name="__RefHeading___Toc7434_3496517312"/>
      <w:bookmarkEnd w:id="140"/>
      <w:r>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pPr>
        <w:pStyle w:val="Corpodotexto"/>
        <w:rPr>
          <w:b w:val="false"/>
          <w:b w:val="false"/>
          <w:bCs w:val="false"/>
          <w:sz w:val="22"/>
          <w:szCs w:val="22"/>
        </w:rPr>
      </w:pPr>
      <w:bookmarkStart w:id="141" w:name="__RefHeading___Toc7436_3496517312"/>
      <w:bookmarkEnd w:id="141"/>
      <w:r>
        <w:rPr/>
        <w:t>b) O contratado fica obrigada a utilizar produtos ou subprodutos de madeira de origem exótica ou nativa que tenham procedência legal, conforme Decreto Estadual n.º 4.889, de 31 de maio de 2005.</w:t>
      </w:r>
    </w:p>
    <w:p>
      <w:pPr>
        <w:pStyle w:val="Corpodotexto"/>
        <w:rPr>
          <w:sz w:val="22"/>
          <w:szCs w:val="22"/>
        </w:rPr>
      </w:pPr>
      <w:r>
        <w:rPr>
          <w:sz w:val="22"/>
          <w:szCs w:val="22"/>
        </w:rPr>
      </w:r>
    </w:p>
    <w:p>
      <w:pPr>
        <w:pStyle w:val="Corpodotexto"/>
        <w:spacing w:before="0" w:after="240"/>
        <w:ind w:left="113" w:right="113" w:hanging="0"/>
        <w:rPr>
          <w:b w:val="false"/>
          <w:b w:val="false"/>
          <w:bCs w:val="false"/>
        </w:rPr>
      </w:pPr>
      <w:r>
        <w:rPr>
          <w:b w:val="false"/>
          <w:bCs w:val="false"/>
        </w:rPr>
      </w:r>
    </w:p>
    <w:p>
      <w:pPr>
        <w:pStyle w:val="Corpodotexto"/>
        <w:spacing w:lineRule="auto" w:line="240" w:before="0" w:after="0"/>
        <w:rPr>
          <w:highlight w:val="none"/>
          <w:shd w:fill="auto" w:val="clear"/>
        </w:rPr>
      </w:pPr>
      <w:r>
        <w:rPr>
          <w:shd w:fill="auto" w:val="clear"/>
        </w:rPr>
        <w:t xml:space="preserve">   </w:t>
      </w:r>
    </w:p>
    <w:p>
      <w:pPr>
        <w:pStyle w:val="Ttulo12"/>
        <w:numPr>
          <w:ilvl w:val="0"/>
          <w:numId w:val="1"/>
        </w:numPr>
        <w:tabs>
          <w:tab w:val="clear" w:pos="720"/>
          <w:tab w:val="left" w:pos="567" w:leader="none"/>
        </w:tabs>
        <w:spacing w:lineRule="auto" w:line="360" w:before="240" w:after="240"/>
        <w:ind w:left="567" w:right="0" w:hanging="567"/>
        <w:rPr>
          <w:color w:val="auto"/>
        </w:rPr>
      </w:pPr>
      <w:bookmarkStart w:id="142" w:name="__RefHeading___Toc1667_2069000241"/>
      <w:bookmarkEnd w:id="142"/>
      <w:r>
        <w:rPr>
          <w:rFonts w:eastAsia="Arial" w:cs="Arial"/>
          <w:b/>
          <w:bCs/>
          <w:color w:val="000000"/>
          <w:kern w:val="0"/>
          <w:sz w:val="24"/>
          <w:szCs w:val="24"/>
          <w:shd w:fill="auto" w:val="clear"/>
          <w:lang w:val="pt-PT" w:eastAsia="en-US" w:bidi="ar-SA"/>
        </w:rPr>
        <w:t>O</w:t>
      </w:r>
      <w:bookmarkStart w:id="143" w:name="_Toc163657404"/>
      <w:bookmarkStart w:id="144" w:name="_Toc108539641"/>
      <w:bookmarkStart w:id="145" w:name="_Toc153229513"/>
      <w:bookmarkStart w:id="146" w:name="_Toc1636574041"/>
      <w:bookmarkStart w:id="147" w:name="_Toc1085396411"/>
      <w:bookmarkStart w:id="148" w:name="_Toc1532295131"/>
      <w:r>
        <w:rPr>
          <w:rFonts w:eastAsia="Arial" w:cs="Arial"/>
          <w:b/>
          <w:bCs/>
          <w:color w:val="000000"/>
          <w:kern w:val="0"/>
          <w:sz w:val="24"/>
          <w:szCs w:val="24"/>
          <w:shd w:fill="auto" w:val="clear"/>
          <w:lang w:val="pt-PT" w:eastAsia="en-US" w:bidi="ar-SA"/>
        </w:rPr>
        <w:t>RÇAMENTO ESTIMADO, PREÇO DE REFERÊNCIA E REMUNERAÇÃ</w:t>
      </w:r>
      <w:bookmarkEnd w:id="143"/>
      <w:bookmarkEnd w:id="144"/>
      <w:bookmarkEnd w:id="145"/>
      <w:bookmarkEnd w:id="146"/>
      <w:bookmarkEnd w:id="147"/>
      <w:bookmarkEnd w:id="148"/>
      <w:r>
        <w:rPr>
          <w:rFonts w:eastAsia="Arial" w:cs="Arial"/>
          <w:b/>
          <w:bCs/>
          <w:color w:val="000000"/>
          <w:kern w:val="0"/>
          <w:sz w:val="24"/>
          <w:szCs w:val="24"/>
          <w:shd w:fill="auto" w:val="clear"/>
          <w:lang w:val="pt-PT" w:eastAsia="en-US" w:bidi="ar-SA"/>
        </w:rPr>
        <w:t>O</w:t>
      </w:r>
    </w:p>
    <w:p>
      <w:pPr>
        <w:pStyle w:val="Ttulo12"/>
        <w:numPr>
          <w:ilvl w:val="1"/>
          <w:numId w:val="1"/>
        </w:numPr>
        <w:tabs>
          <w:tab w:val="clear" w:pos="720"/>
          <w:tab w:val="left" w:pos="960" w:leader="none"/>
        </w:tabs>
        <w:ind w:left="360" w:right="0" w:hanging="360"/>
        <w:rPr>
          <w:color w:val="auto"/>
        </w:rPr>
      </w:pPr>
      <w:bookmarkStart w:id="149" w:name="__RefHeading___Toc8315_3024895937_Copia_"/>
      <w:bookmarkStart w:id="150" w:name="_Toc153229515_Copia_1_Copia_11"/>
      <w:bookmarkStart w:id="151" w:name="_Toc108539643_Copia_1_Copia_11"/>
      <w:bookmarkStart w:id="152" w:name="_Toc163657405_Copia_1"/>
      <w:bookmarkEnd w:id="149"/>
      <w:r>
        <w:rPr>
          <w:color w:val="000000"/>
          <w:sz w:val="22"/>
          <w:szCs w:val="22"/>
          <w:shd w:fill="auto" w:val="clear"/>
        </w:rPr>
        <w:t xml:space="preserve">ORÇAMENTO ESTIMADO DA LICITAÇÃO E PREÇO DE </w:t>
      </w:r>
      <w:r>
        <w:rPr>
          <w:rFonts w:eastAsia="Calibri" w:cs="Arial"/>
          <w:color w:val="000000"/>
          <w:kern w:val="0"/>
          <w:sz w:val="22"/>
          <w:szCs w:val="22"/>
          <w:shd w:fill="auto" w:val="clear"/>
          <w:lang w:val="pt-PT" w:eastAsia="en-US" w:bidi="ar-SA"/>
        </w:rPr>
        <w:t>REFERÊNCIA</w:t>
      </w:r>
      <w:bookmarkEnd w:id="150"/>
      <w:bookmarkEnd w:id="151"/>
      <w:bookmarkEnd w:id="152"/>
    </w:p>
    <w:p>
      <w:pPr>
        <w:pStyle w:val="Ttulo12"/>
        <w:numPr>
          <w:ilvl w:val="0"/>
          <w:numId w:val="0"/>
        </w:numPr>
        <w:tabs>
          <w:tab w:val="clear" w:pos="720"/>
          <w:tab w:val="left" w:pos="960" w:leader="none"/>
        </w:tabs>
        <w:ind w:left="1263" w:right="0" w:hanging="0"/>
        <w:rPr>
          <w:rFonts w:eastAsia="Calibri" w:cs="Arial"/>
          <w:color w:val="auto"/>
          <w:kern w:val="0"/>
          <w:highlight w:val="none"/>
          <w:shd w:fill="auto" w:val="clear"/>
          <w:lang w:val="pt-PT" w:eastAsia="en-US" w:bidi="ar-SA"/>
        </w:rPr>
      </w:pPr>
      <w:r>
        <w:rPr>
          <w:rFonts w:eastAsia="Calibri" w:cs="Arial"/>
          <w:color w:val="000000"/>
          <w:kern w:val="0"/>
          <w:shd w:fill="auto" w:val="clear"/>
          <w:lang w:val="pt-PT" w:eastAsia="en-US" w:bidi="ar-SA"/>
        </w:rPr>
      </w:r>
    </w:p>
    <w:p>
      <w:pPr>
        <w:pStyle w:val="Corpodotexto"/>
        <w:ind w:left="0" w:right="0" w:hanging="0"/>
        <w:rPr>
          <w:highlight w:val="none"/>
          <w:shd w:fill="auto" w:val="clear"/>
        </w:rPr>
      </w:pPr>
      <w:r>
        <w:rPr>
          <w:shd w:fill="auto" w:val="clear"/>
        </w:rPr>
        <w:tab/>
        <w:t>A estimativa de custo da presente licitação fundamenta-se em um Orçamento Sintético, ou seja:</w:t>
      </w:r>
    </w:p>
    <w:p>
      <w:pPr>
        <w:pStyle w:val="Corpodotexto"/>
        <w:numPr>
          <w:ilvl w:val="0"/>
          <w:numId w:val="2"/>
        </w:numPr>
        <w:tabs>
          <w:tab w:val="clear" w:pos="720"/>
          <w:tab w:val="left" w:pos="0" w:leader="none"/>
          <w:tab w:val="left" w:pos="864" w:leader="none"/>
          <w:tab w:val="left" w:pos="1418" w:leader="none"/>
          <w:tab w:val="left" w:pos="2304" w:leader="none"/>
          <w:tab w:val="left" w:pos="3024" w:leader="none"/>
          <w:tab w:val="left" w:pos="3744" w:leader="none"/>
          <w:tab w:val="left" w:pos="4464" w:leader="none"/>
          <w:tab w:val="left" w:pos="5184" w:leader="none"/>
          <w:tab w:val="left" w:pos="5904" w:leader="none"/>
          <w:tab w:val="left" w:pos="6624" w:leader="none"/>
        </w:tabs>
        <w:ind w:left="1418" w:right="114" w:hanging="284"/>
        <w:rPr/>
      </w:pPr>
      <w:r>
        <w:rPr>
          <w:i/>
          <w:shd w:fill="auto" w:val="clear"/>
        </w:rPr>
        <w:t>Orçamento sintético com base em quantitativos levantados a partir do projeto e em custos unitários de tabelas referenciais públicas ou particulares ou obtidos por apropriação de produtividade e consumo e/ou por pesquisas de mercado</w:t>
      </w:r>
      <w:r>
        <w:rPr>
          <w:rStyle w:val="Ncoradanotaderodap"/>
          <w:i/>
          <w:shd w:fill="auto" w:val="clear"/>
        </w:rPr>
        <w:footnoteReference w:id="2"/>
      </w:r>
      <w:r>
        <w:rPr>
          <w:i/>
          <w:shd w:fill="auto" w:val="clear"/>
        </w:rPr>
        <w:t>, tão detalhado quanto possíve</w:t>
      </w:r>
      <w:r>
        <w:rPr>
          <w:i/>
        </w:rPr>
        <w:t>l, para os serviços para os quais houve detalhamento suficiente no projeto de engenharia para tal;</w:t>
      </w:r>
    </w:p>
    <w:p>
      <w:pPr>
        <w:pStyle w:val="Corpodotexto"/>
        <w:ind w:left="0" w:right="0" w:hanging="0"/>
        <w:rPr/>
      </w:pPr>
      <w:r>
        <w:rPr>
          <w:color w:val="FF0000"/>
        </w:rPr>
        <w:tab/>
      </w:r>
      <w:r>
        <w:rPr>
          <w:color w:val="000000"/>
          <w:shd w:fill="auto" w:val="clear"/>
        </w:rPr>
        <w:t>O</w:t>
      </w:r>
      <w:r>
        <w:rPr>
          <w:b w:val="false"/>
          <w:bCs w:val="false"/>
          <w:color w:val="000000"/>
          <w:shd w:fill="auto" w:val="clear"/>
        </w:rPr>
        <w:t xml:space="preserve"> orçamento estimativo para a presente contratação </w:t>
      </w:r>
      <w:r>
        <w:rPr>
          <w:rFonts w:eastAsia="Arial Unicode MS" w:cs="Arial"/>
          <w:b w:val="false"/>
          <w:bCs w:val="false"/>
          <w:color w:val="000000"/>
          <w:kern w:val="0"/>
          <w:sz w:val="22"/>
          <w:szCs w:val="22"/>
          <w:shd w:fill="auto" w:val="clear"/>
          <w:lang w:val="pt-PT" w:eastAsia="en-US" w:bidi="ar-SA"/>
        </w:rPr>
        <w:t>e contém:</w:t>
      </w:r>
    </w:p>
    <w:p>
      <w:pPr>
        <w:pStyle w:val="Corpodotexto"/>
        <w:numPr>
          <w:ilvl w:val="0"/>
          <w:numId w:val="4"/>
        </w:numPr>
        <w:spacing w:lineRule="auto" w:line="276"/>
        <w:ind w:left="1134" w:right="113" w:hanging="283"/>
        <w:rPr/>
      </w:pPr>
      <w:r>
        <w:rPr>
          <w:shd w:fill="auto" w:val="clear"/>
        </w:rPr>
        <w:t xml:space="preserve">Folha de fechamento; </w:t>
      </w:r>
    </w:p>
    <w:p>
      <w:pPr>
        <w:pStyle w:val="Corpodotexto"/>
        <w:numPr>
          <w:ilvl w:val="0"/>
          <w:numId w:val="4"/>
        </w:numPr>
        <w:spacing w:lineRule="auto" w:line="276"/>
        <w:ind w:left="1134" w:right="113" w:hanging="283"/>
        <w:rPr/>
      </w:pPr>
      <w:r>
        <w:rPr>
          <w:shd w:fill="auto" w:val="clear"/>
        </w:rPr>
        <w:t xml:space="preserve">Folha resumo; </w:t>
      </w:r>
    </w:p>
    <w:p>
      <w:pPr>
        <w:pStyle w:val="Corpodotexto"/>
        <w:numPr>
          <w:ilvl w:val="0"/>
          <w:numId w:val="4"/>
        </w:numPr>
        <w:spacing w:lineRule="auto" w:line="276"/>
        <w:ind w:left="1134" w:right="113" w:hanging="283"/>
        <w:rPr/>
      </w:pPr>
      <w:r>
        <w:rPr>
          <w:shd w:fill="auto" w:val="clear"/>
        </w:rPr>
        <w:t xml:space="preserve">Planilha orçamentária; </w:t>
      </w:r>
    </w:p>
    <w:p>
      <w:pPr>
        <w:pStyle w:val="Corpodotexto"/>
        <w:numPr>
          <w:ilvl w:val="0"/>
          <w:numId w:val="4"/>
        </w:numPr>
        <w:spacing w:lineRule="auto" w:line="276"/>
        <w:ind w:left="1134" w:right="113" w:hanging="283"/>
        <w:rPr/>
      </w:pPr>
      <w:r>
        <w:rPr>
          <w:shd w:fill="auto" w:val="clear"/>
        </w:rPr>
        <w:t xml:space="preserve">Cronograma físico-financeiro; </w:t>
      </w:r>
    </w:p>
    <w:p>
      <w:pPr>
        <w:pStyle w:val="Corpodotexto"/>
        <w:numPr>
          <w:ilvl w:val="0"/>
          <w:numId w:val="4"/>
        </w:numPr>
        <w:spacing w:lineRule="auto" w:line="276"/>
        <w:ind w:left="1134" w:right="113" w:hanging="283"/>
        <w:rPr/>
      </w:pPr>
      <w:r>
        <w:rPr>
          <w:shd w:fill="auto" w:val="clear"/>
        </w:rPr>
        <w:t xml:space="preserve">Composições complementares, quando couber; </w:t>
      </w:r>
    </w:p>
    <w:p>
      <w:pPr>
        <w:pStyle w:val="Corpodotexto"/>
        <w:numPr>
          <w:ilvl w:val="0"/>
          <w:numId w:val="4"/>
        </w:numPr>
        <w:spacing w:lineRule="auto" w:line="276"/>
        <w:ind w:left="1134" w:right="113" w:hanging="283"/>
        <w:rPr/>
      </w:pPr>
      <w:r>
        <w:rPr>
          <w:shd w:fill="auto" w:val="clear"/>
        </w:rPr>
        <w:t xml:space="preserve">Cotações / propostas de serviços terceirizados, quando couber; </w:t>
      </w:r>
    </w:p>
    <w:p>
      <w:pPr>
        <w:pStyle w:val="Corpodotexto"/>
        <w:numPr>
          <w:ilvl w:val="0"/>
          <w:numId w:val="4"/>
        </w:numPr>
        <w:spacing w:lineRule="auto" w:line="276"/>
        <w:ind w:left="1134" w:right="113" w:hanging="283"/>
        <w:rPr/>
      </w:pPr>
      <w:r>
        <w:rPr>
          <w:shd w:fill="auto" w:val="clear"/>
        </w:rPr>
        <w:t xml:space="preserve">Planilha orçamentária organizada – Curva abc de serviços e de insumos; </w:t>
      </w:r>
    </w:p>
    <w:p>
      <w:pPr>
        <w:pStyle w:val="Corpodotexto"/>
        <w:numPr>
          <w:ilvl w:val="0"/>
          <w:numId w:val="4"/>
        </w:numPr>
        <w:spacing w:lineRule="auto" w:line="276"/>
        <w:ind w:left="1134" w:right="113" w:hanging="283"/>
        <w:rPr/>
      </w:pPr>
      <w:r>
        <w:rPr>
          <w:shd w:fill="auto" w:val="clear"/>
        </w:rPr>
        <w:t xml:space="preserve">Composição do BDI; </w:t>
      </w:r>
    </w:p>
    <w:p>
      <w:pPr>
        <w:pStyle w:val="Corpodotexto"/>
        <w:numPr>
          <w:ilvl w:val="0"/>
          <w:numId w:val="4"/>
        </w:numPr>
        <w:spacing w:lineRule="auto" w:line="276"/>
        <w:ind w:left="1134" w:right="113" w:hanging="283"/>
        <w:rPr/>
      </w:pPr>
      <w:r>
        <w:rPr>
          <w:shd w:fill="auto" w:val="clear"/>
        </w:rPr>
        <w:t xml:space="preserve">ART ou RRT quitada; </w:t>
      </w:r>
    </w:p>
    <w:p>
      <w:pPr>
        <w:pStyle w:val="Corpodotexto"/>
        <w:numPr>
          <w:ilvl w:val="0"/>
          <w:numId w:val="4"/>
        </w:numPr>
        <w:spacing w:lineRule="auto" w:line="276"/>
        <w:ind w:left="1134" w:right="113" w:hanging="283"/>
        <w:rPr/>
      </w:pPr>
      <w:r>
        <w:rPr>
          <w:shd w:fill="auto" w:val="clear"/>
        </w:rPr>
        <w:t xml:space="preserve">Termo de responsabilidade de utilização correta dos modelos e das tabelas de referências; </w:t>
      </w:r>
    </w:p>
    <w:p>
      <w:pPr>
        <w:pStyle w:val="Corpodotexto"/>
        <w:numPr>
          <w:ilvl w:val="0"/>
          <w:numId w:val="4"/>
        </w:numPr>
        <w:spacing w:lineRule="auto" w:line="276" w:before="0" w:after="240"/>
        <w:ind w:left="1134" w:right="113" w:hanging="283"/>
        <w:rPr/>
      </w:pPr>
      <w:r>
        <w:rPr>
          <w:rFonts w:eastAsia="Arial MT"/>
          <w:shd w:fill="auto" w:val="clear"/>
        </w:rPr>
        <w:t>Declaração de liberação do direito autoral patrimonial.</w:t>
      </w:r>
    </w:p>
    <w:p>
      <w:pPr>
        <w:pStyle w:val="Corpodotexto"/>
        <w:ind w:left="0" w:right="0" w:hanging="0"/>
        <w:rPr>
          <w:rFonts w:eastAsia="Arial MT"/>
          <w:color w:val="auto"/>
        </w:rPr>
      </w:pPr>
      <w:r>
        <w:rPr>
          <w:rFonts w:eastAsia="Arial MT"/>
          <w:color w:val="auto"/>
        </w:rPr>
        <w:tab/>
        <w:t>Na elaboração da proposta de preço é necessário que a LICITANTE apresente o valor global, em moeda corrente nacional, incluindo todas as despesas diretas e indiretas necessárias à plena execução da obra, conforme definidos no objeto da licitação.</w:t>
      </w:r>
    </w:p>
    <w:p>
      <w:pPr>
        <w:pStyle w:val="Corpodotexto"/>
        <w:ind w:left="0" w:right="0" w:hanging="0"/>
        <w:rPr>
          <w:color w:val="FF0000"/>
        </w:rPr>
      </w:pPr>
      <w:r>
        <w:rPr>
          <w:color w:val="FF0000"/>
        </w:rPr>
      </w:r>
    </w:p>
    <w:p>
      <w:pPr>
        <w:pStyle w:val="Ttulo12"/>
        <w:widowControl w:val="false"/>
        <w:numPr>
          <w:ilvl w:val="1"/>
          <w:numId w:val="1"/>
        </w:numPr>
        <w:tabs>
          <w:tab w:val="clear" w:pos="720"/>
          <w:tab w:val="left" w:pos="960" w:leader="none"/>
        </w:tabs>
        <w:suppressAutoHyphens w:val="true"/>
        <w:overflowPunct w:val="true"/>
        <w:bidi w:val="0"/>
        <w:spacing w:lineRule="auto" w:line="240" w:before="71" w:after="240"/>
        <w:ind w:left="1134" w:right="0" w:hanging="1134"/>
        <w:jc w:val="left"/>
        <w:rPr>
          <w:sz w:val="22"/>
          <w:szCs w:val="22"/>
        </w:rPr>
      </w:pPr>
      <w:bookmarkStart w:id="153" w:name="__RefHeading___Toc8317_3024895937_Copia_"/>
      <w:bookmarkStart w:id="154" w:name="_Toc153229514_Copia_1"/>
      <w:bookmarkStart w:id="155" w:name="_Toc163657406_Copia_1"/>
      <w:bookmarkEnd w:id="153"/>
      <w:r>
        <w:rPr>
          <w:sz w:val="22"/>
          <w:szCs w:val="22"/>
        </w:rPr>
        <w:t>VALOR MÁXIMO DA REMUNERAÇÃO</w:t>
      </w:r>
      <w:bookmarkEnd w:id="154"/>
      <w:bookmarkEnd w:id="155"/>
    </w:p>
    <w:p>
      <w:pPr>
        <w:pStyle w:val="Normal"/>
        <w:spacing w:lineRule="auto" w:line="360" w:before="0" w:after="43"/>
        <w:jc w:val="both"/>
        <w:rPr/>
      </w:pPr>
      <w:r>
        <w:rPr>
          <w:rFonts w:eastAsia="Arial Unicode MS" w:cs="Arial" w:ascii="Arial" w:hAnsi="Arial"/>
          <w:lang w:val="pt-PT"/>
        </w:rPr>
        <w:tab/>
      </w:r>
      <w:r>
        <w:rPr>
          <w:rFonts w:eastAsia="Arial Unicode MS" w:cs="Arial" w:ascii="Arial" w:hAnsi="Arial"/>
          <w:b/>
          <w:lang w:val="pt-PT"/>
        </w:rPr>
        <w:t>Preço total estimado</w:t>
      </w:r>
      <w:r>
        <w:rPr>
          <w:rFonts w:eastAsia="Arial Unicode MS" w:cs="Arial" w:ascii="Arial" w:hAnsi="Arial"/>
          <w:b/>
          <w:shd w:fill="auto" w:val="clear"/>
          <w:lang w:val="pt-PT"/>
        </w:rPr>
        <w:t xml:space="preserve">: R$ </w:t>
      </w:r>
      <w:r>
        <w:rPr>
          <w:rFonts w:eastAsia="Arial Unicode MS" w:cs="Arial" w:ascii="Arial" w:hAnsi="Arial"/>
          <w:b/>
          <w:color w:val="000000"/>
          <w:kern w:val="0"/>
          <w:sz w:val="22"/>
          <w:szCs w:val="22"/>
          <w:shd w:fill="auto" w:val="clear"/>
          <w:lang w:val="pt-PT" w:eastAsia="en-US" w:bidi="ar-SA"/>
        </w:rPr>
        <w:t>19.473,76</w:t>
      </w:r>
      <w:r>
        <w:rPr>
          <w:rFonts w:eastAsia="Arial Unicode MS" w:cs="Arial" w:ascii="Arial" w:hAnsi="Arial"/>
          <w:b/>
          <w:shd w:fill="auto" w:val="clear"/>
          <w:lang w:val="pt-PT"/>
        </w:rPr>
        <w:t xml:space="preserve"> </w:t>
      </w:r>
      <w:r>
        <w:rPr>
          <w:rFonts w:eastAsia="Arial Unicode MS" w:cs="Arial" w:ascii="Arial" w:hAnsi="Arial"/>
          <w:shd w:fill="auto" w:val="clear"/>
          <w:lang w:val="pt-PT"/>
        </w:rPr>
        <w:t>(</w:t>
      </w:r>
      <w:r>
        <w:rPr>
          <w:rFonts w:eastAsia="Arial Unicode MS" w:cs="Arial" w:ascii="Arial" w:hAnsi="Arial"/>
          <w:color w:val="000000"/>
          <w:kern w:val="0"/>
          <w:sz w:val="22"/>
          <w:szCs w:val="22"/>
          <w:shd w:fill="auto" w:val="clear"/>
          <w:lang w:val="pt-PT" w:eastAsia="en-US" w:bidi="ar-SA"/>
        </w:rPr>
        <w:t>desenove mil quatrocentos e setenta e três reais e setenta e seis centavos</w:t>
      </w:r>
      <w:r>
        <w:rPr>
          <w:rFonts w:eastAsia="Arial Unicode MS" w:cs="Arial" w:ascii="Arial" w:hAnsi="Arial"/>
          <w:shd w:fill="auto" w:val="clear"/>
          <w:lang w:val="pt-PT"/>
        </w:rPr>
        <w:t>)</w:t>
      </w:r>
      <w:r>
        <w:rPr>
          <w:rFonts w:eastAsia="Arial Unicode MS" w:cs="Arial" w:ascii="Arial" w:hAnsi="Arial"/>
          <w:lang w:val="pt-PT"/>
        </w:rPr>
        <w:t xml:space="preserve">, sendo este o </w:t>
      </w:r>
      <w:r>
        <w:rPr>
          <w:rFonts w:eastAsia="Arial Unicode MS" w:cs="Arial" w:ascii="Arial" w:hAnsi="Arial"/>
          <w:b/>
          <w:bCs/>
          <w:lang w:val="pt-PT"/>
        </w:rPr>
        <w:t>Valor Máximo</w:t>
      </w:r>
      <w:r>
        <w:rPr>
          <w:rFonts w:eastAsia="Arial Unicode MS" w:cs="Arial" w:ascii="Arial" w:hAnsi="Arial"/>
          <w:lang w:val="pt-PT"/>
        </w:rPr>
        <w:t xml:space="preserve"> para contratação dos serviços.</w:t>
      </w:r>
    </w:p>
    <w:p>
      <w:pPr>
        <w:pStyle w:val="Normal"/>
        <w:spacing w:lineRule="auto" w:line="360" w:before="0" w:after="43"/>
        <w:ind w:left="0" w:right="0" w:firstLine="421"/>
        <w:jc w:val="both"/>
        <w:rPr>
          <w:rFonts w:ascii="Arial" w:hAnsi="Arial" w:eastAsia="Arial Unicode MS" w:cs="Arial"/>
          <w:lang w:val="pt-PT"/>
        </w:rPr>
      </w:pPr>
      <w:r>
        <w:rPr>
          <w:rFonts w:eastAsia="Arial Unicode MS" w:cs="Arial" w:ascii="Arial" w:hAnsi="Arial"/>
          <w:lang w:val="pt-PT"/>
        </w:rPr>
      </w:r>
    </w:p>
    <w:p>
      <w:pPr>
        <w:pStyle w:val="Corpodotexto"/>
        <w:spacing w:before="0" w:after="0"/>
        <w:ind w:left="0" w:right="0" w:hanging="0"/>
        <w:rPr>
          <w:color w:val="auto"/>
        </w:rPr>
      </w:pPr>
      <w:r>
        <w:rPr>
          <w:b/>
          <w:bCs/>
        </w:rPr>
      </w:r>
    </w:p>
    <w:p>
      <w:pPr>
        <w:pStyle w:val="Normal"/>
        <w:spacing w:lineRule="auto" w:line="240" w:before="0" w:after="0"/>
        <w:jc w:val="both"/>
        <w:rPr>
          <w:b/>
          <w:b/>
          <w:bCs/>
        </w:rPr>
      </w:pPr>
      <w:r>
        <w:rPr>
          <w:b/>
          <w:bCs/>
        </w:rPr>
      </w:r>
    </w:p>
    <w:p>
      <w:pPr>
        <w:pStyle w:val="Normal"/>
        <w:spacing w:lineRule="auto" w:line="240" w:before="0" w:after="0"/>
        <w:jc w:val="both"/>
        <w:rPr>
          <w:b/>
          <w:b/>
          <w:bCs/>
        </w:rPr>
      </w:pPr>
      <w:r>
        <w:rPr>
          <w:b/>
          <w:bCs/>
        </w:rPr>
      </w:r>
    </w:p>
    <w:p>
      <w:pPr>
        <w:pStyle w:val="Normal"/>
        <w:spacing w:lineRule="auto" w:line="240" w:before="0" w:after="0"/>
        <w:jc w:val="both"/>
        <w:rPr>
          <w:b/>
          <w:b/>
          <w:bCs/>
        </w:rPr>
      </w:pPr>
      <w:r>
        <w:rPr>
          <w:b/>
          <w:bCs/>
        </w:rPr>
      </w:r>
    </w:p>
    <w:p>
      <w:pPr>
        <w:pStyle w:val="Normal"/>
        <w:spacing w:lineRule="auto" w:line="240" w:before="0" w:after="0"/>
        <w:jc w:val="both"/>
        <w:rPr>
          <w:b/>
          <w:b/>
          <w:bCs/>
        </w:rPr>
      </w:pPr>
      <w:r>
        <w:rPr>
          <w:b/>
          <w:bCs/>
        </w:rPr>
      </w:r>
    </w:p>
    <w:p>
      <w:pPr>
        <w:pStyle w:val="Normal"/>
        <w:spacing w:lineRule="auto" w:line="240" w:before="0" w:after="0"/>
        <w:jc w:val="both"/>
        <w:rPr>
          <w:b/>
          <w:b/>
          <w:bCs/>
        </w:rPr>
      </w:pPr>
      <w:r>
        <w:rPr>
          <w:b/>
          <w:bCs/>
        </w:rPr>
      </w:r>
    </w:p>
    <w:p>
      <w:pPr>
        <w:pStyle w:val="Normal"/>
        <w:spacing w:lineRule="auto" w:line="240" w:before="0" w:after="0"/>
        <w:jc w:val="both"/>
        <w:rPr>
          <w:b/>
          <w:b/>
          <w:bCs/>
          <w:color w:val="auto"/>
        </w:rPr>
      </w:pPr>
      <w:r>
        <w:rPr>
          <w:b/>
          <w:bCs/>
          <w:color w:val="auto"/>
        </w:rPr>
      </w:r>
    </w:p>
    <w:p>
      <w:pPr>
        <w:pStyle w:val="Normal"/>
        <w:spacing w:lineRule="auto" w:line="240" w:before="0" w:after="0"/>
        <w:jc w:val="both"/>
        <w:rPr>
          <w:b/>
          <w:b/>
          <w:bCs/>
          <w:color w:val="auto"/>
        </w:rPr>
      </w:pPr>
      <w:r>
        <w:rPr>
          <w:b/>
          <w:bCs/>
          <w:color w:val="auto"/>
        </w:rPr>
      </w:r>
    </w:p>
    <w:p>
      <w:pPr>
        <w:pStyle w:val="Normal"/>
        <w:spacing w:lineRule="auto" w:line="240" w:before="0" w:after="0"/>
        <w:jc w:val="both"/>
        <w:rPr>
          <w:b/>
          <w:b/>
          <w:bCs/>
          <w:color w:val="auto"/>
        </w:rPr>
      </w:pPr>
      <w:r>
        <w:rPr>
          <w:b/>
          <w:bCs/>
          <w:color w:val="auto"/>
        </w:rPr>
      </w:r>
    </w:p>
    <w:p>
      <w:pPr>
        <w:pStyle w:val="Normal"/>
        <w:spacing w:lineRule="auto" w:line="240" w:before="0" w:after="0"/>
        <w:jc w:val="both"/>
        <w:rPr>
          <w:color w:val="auto"/>
        </w:rPr>
      </w:pPr>
      <w:r>
        <w:rPr>
          <w:rFonts w:eastAsia="Arial Unicode MS" w:cs="Arial" w:ascii="Arial" w:hAnsi="Arial"/>
          <w:b/>
          <w:bCs/>
          <w:color w:val="auto"/>
          <w:kern w:val="0"/>
          <w:sz w:val="22"/>
          <w:szCs w:val="22"/>
          <w:lang w:val="pt-PT" w:eastAsia="en-US" w:bidi="ar-SA"/>
        </w:rPr>
        <w:tab/>
        <w:t>Responsável(is) pela Elaboração do TR:</w:t>
      </w:r>
    </w:p>
    <w:p>
      <w:pPr>
        <w:pStyle w:val="Normal"/>
        <w:spacing w:lineRule="auto" w:line="240" w:before="0" w:after="0"/>
        <w:jc w:val="both"/>
        <w:rPr>
          <w:rFonts w:ascii="Arial" w:hAnsi="Arial" w:eastAsia="Arial Unicode MS" w:cs="Arial"/>
          <w:color w:val="auto"/>
          <w:kern w:val="0"/>
          <w:sz w:val="22"/>
          <w:szCs w:val="22"/>
          <w:lang w:val="pt-PT" w:eastAsia="en-US" w:bidi="ar-SA"/>
        </w:rPr>
      </w:pPr>
      <w:r>
        <w:rPr>
          <w:rFonts w:eastAsia="Arial Unicode MS" w:cs="Arial" w:ascii="Arial" w:hAnsi="Arial"/>
          <w:color w:val="auto"/>
          <w:kern w:val="0"/>
          <w:sz w:val="22"/>
          <w:szCs w:val="22"/>
          <w:lang w:val="pt-PT" w:eastAsia="en-US" w:bidi="ar-SA"/>
        </w:rPr>
      </w:r>
    </w:p>
    <w:p>
      <w:pPr>
        <w:pStyle w:val="Recuodecorpodetexto21"/>
        <w:tabs>
          <w:tab w:val="clear" w:pos="720"/>
          <w:tab w:val="left" w:pos="684" w:leader="none"/>
          <w:tab w:val="left" w:pos="1665" w:leader="none"/>
          <w:tab w:val="left" w:pos="1710" w:leader="none"/>
        </w:tabs>
        <w:spacing w:lineRule="auto" w:line="36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Corpodotexto"/>
        <w:widowControl/>
        <w:spacing w:lineRule="auto" w:line="240" w:before="0" w:after="0"/>
        <w:ind w:left="0" w:right="0" w:hanging="0"/>
        <w:jc w:val="center"/>
        <w:rPr>
          <w:color w:val="auto"/>
        </w:rPr>
      </w:pPr>
      <w:r>
        <w:rPr>
          <w:rFonts w:eastAsia="SimSun;宋体" w:cs="Arial"/>
          <w:b/>
          <w:bCs/>
          <w:i w:val="false"/>
          <w:iCs/>
          <w:caps w:val="false"/>
          <w:smallCaps w:val="false"/>
          <w:color w:val="000000"/>
          <w:spacing w:val="0"/>
          <w:sz w:val="22"/>
          <w:szCs w:val="22"/>
          <w:shd w:fill="auto" w:val="clear"/>
          <w:lang w:val="pt-BR" w:eastAsia="zh-CN" w:bidi="ar-SA"/>
        </w:rPr>
        <w:t>Luciano Fernando da Rosa</w:t>
      </w:r>
    </w:p>
    <w:p>
      <w:pPr>
        <w:pStyle w:val="Corpodotexto"/>
        <w:widowControl/>
        <w:tabs>
          <w:tab w:val="clear" w:pos="720"/>
          <w:tab w:val="left" w:pos="684" w:leader="none"/>
          <w:tab w:val="left" w:pos="1665" w:leader="none"/>
          <w:tab w:val="left" w:pos="1710" w:leader="none"/>
        </w:tabs>
        <w:spacing w:lineRule="auto" w:line="240" w:before="0" w:after="0"/>
        <w:ind w:left="0" w:right="0" w:hanging="0"/>
        <w:jc w:val="center"/>
        <w:rPr>
          <w:color w:val="auto"/>
        </w:rPr>
      </w:pPr>
      <w:r>
        <w:rPr>
          <w:rFonts w:eastAsia="SimSun;宋体" w:cs="Arial"/>
          <w:b w:val="false"/>
          <w:bCs w:val="false"/>
          <w:i/>
          <w:iCs/>
          <w:caps w:val="false"/>
          <w:smallCaps w:val="false"/>
          <w:color w:val="000000"/>
          <w:spacing w:val="0"/>
          <w:sz w:val="22"/>
          <w:szCs w:val="22"/>
          <w:shd w:fill="auto" w:val="clear"/>
          <w:lang w:val="pt-BR" w:eastAsia="zh-CN" w:bidi="ar-SA"/>
        </w:rPr>
        <w:t>Engenheiro Eletricista</w:t>
      </w:r>
    </w:p>
    <w:p>
      <w:pPr>
        <w:pStyle w:val="Corpodotexto"/>
        <w:widowControl/>
        <w:tabs>
          <w:tab w:val="clear" w:pos="720"/>
          <w:tab w:val="left" w:pos="684" w:leader="none"/>
          <w:tab w:val="left" w:pos="1665" w:leader="none"/>
          <w:tab w:val="left" w:pos="1710" w:leader="none"/>
        </w:tabs>
        <w:spacing w:lineRule="auto" w:line="240" w:before="0" w:after="0"/>
        <w:ind w:left="0" w:right="0" w:hanging="0"/>
        <w:jc w:val="center"/>
        <w:rPr>
          <w:color w:val="auto"/>
        </w:rPr>
      </w:pPr>
      <w:r>
        <w:rPr>
          <w:rFonts w:cs="Arial"/>
          <w:b w:val="false"/>
          <w:i/>
          <w:iCs/>
          <w:caps w:val="false"/>
          <w:smallCaps w:val="false"/>
          <w:color w:val="000000"/>
          <w:spacing w:val="0"/>
          <w:sz w:val="22"/>
          <w:szCs w:val="22"/>
          <w:shd w:fill="auto" w:val="clear"/>
        </w:rPr>
        <w:t>(assinado eletronicamente)</w:t>
      </w:r>
    </w:p>
    <w:p>
      <w:pPr>
        <w:pStyle w:val="Corpodotexto"/>
        <w:widowControl/>
        <w:tabs>
          <w:tab w:val="clear" w:pos="720"/>
          <w:tab w:val="left" w:pos="684" w:leader="none"/>
          <w:tab w:val="left" w:pos="1665" w:leader="none"/>
          <w:tab w:val="left" w:pos="1710" w:leader="none"/>
        </w:tabs>
        <w:spacing w:lineRule="auto" w:line="240" w:before="0" w:after="0"/>
        <w:ind w:left="0" w:right="0" w:hanging="0"/>
        <w:jc w:val="center"/>
        <w:rPr>
          <w:rFonts w:ascii="Arial" w:hAnsi="Arial" w:cs="Arial"/>
          <w:b w:val="false"/>
          <w:b w:val="false"/>
          <w:i/>
          <w:i/>
          <w:iCs/>
          <w:caps w:val="false"/>
          <w:smallCaps w:val="false"/>
          <w:color w:val="auto"/>
          <w:spacing w:val="0"/>
          <w:sz w:val="22"/>
          <w:szCs w:val="22"/>
          <w:shd w:fill="auto" w:val="clear"/>
        </w:rPr>
      </w:pPr>
      <w:r>
        <w:rPr>
          <w:rFonts w:cs="Arial"/>
          <w:b w:val="false"/>
          <w:i/>
          <w:iCs/>
          <w:caps w:val="false"/>
          <w:smallCaps w:val="false"/>
          <w:color w:val="000000"/>
          <w:spacing w:val="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color w:val="auto"/>
        </w:rPr>
      </w:pPr>
      <w:r>
        <w:rPr>
          <w:rFonts w:cs="Arial" w:ascii="Arial" w:hAnsi="Arial"/>
          <w:b/>
          <w:bCs/>
          <w:color w:val="000000"/>
          <w:sz w:val="22"/>
          <w:szCs w:val="22"/>
          <w:shd w:fill="auto" w:val="clear"/>
        </w:rPr>
        <w:t>Ciente, de acordo:</w:t>
      </w:r>
    </w:p>
    <w:p>
      <w:pPr>
        <w:pStyle w:val="Recuodecorpodetexto21"/>
        <w:tabs>
          <w:tab w:val="clear" w:pos="720"/>
          <w:tab w:val="left" w:pos="684" w:leader="none"/>
          <w:tab w:val="left" w:pos="1665" w:leader="none"/>
          <w:tab w:val="left" w:pos="1710" w:leader="none"/>
        </w:tabs>
        <w:spacing w:lineRule="auto" w:line="240" w:before="0" w:after="0"/>
        <w:ind w:left="0" w:right="0" w:firstLine="680"/>
        <w:jc w:val="both"/>
        <w:rPr>
          <w:rFonts w:ascii="Arial" w:hAnsi="Arial" w:cs="Arial"/>
          <w:color w:val="auto"/>
          <w:sz w:val="22"/>
          <w:szCs w:val="22"/>
          <w:shd w:fill="auto" w:val="clear"/>
        </w:rPr>
      </w:pPr>
      <w:r>
        <w:rPr>
          <w:rFonts w:cs="Arial" w:ascii="Arial" w:hAnsi="Arial"/>
          <w:color w:val="000000"/>
          <w:sz w:val="22"/>
          <w:szCs w:val="22"/>
          <w:shd w:fill="auto" w:val="clear"/>
        </w:rPr>
      </w:r>
    </w:p>
    <w:p>
      <w:pPr>
        <w:pStyle w:val="Corpodotexto"/>
        <w:widowControl/>
        <w:spacing w:lineRule="auto" w:line="240" w:before="0" w:after="0"/>
        <w:ind w:left="0" w:right="0" w:hanging="0"/>
        <w:jc w:val="center"/>
        <w:rPr>
          <w:color w:val="auto"/>
        </w:rPr>
      </w:pPr>
      <w:r>
        <w:rPr>
          <w:rFonts w:cs="Arial"/>
          <w:b/>
          <w:bCs/>
          <w:i w:val="false"/>
          <w:iCs/>
          <w:caps w:val="false"/>
          <w:smallCaps w:val="false"/>
          <w:color w:val="000000"/>
          <w:spacing w:val="0"/>
          <w:sz w:val="22"/>
          <w:szCs w:val="22"/>
          <w:shd w:fill="auto" w:val="clear"/>
        </w:rPr>
        <w:t xml:space="preserve">Marianna do Rocio Cardoso </w:t>
      </w:r>
    </w:p>
    <w:p>
      <w:pPr>
        <w:pStyle w:val="Corpodotexto"/>
        <w:widowControl/>
        <w:spacing w:lineRule="auto" w:line="240" w:before="0" w:after="0"/>
        <w:ind w:left="0" w:right="0" w:hanging="0"/>
        <w:jc w:val="center"/>
        <w:rPr>
          <w:color w:val="auto"/>
        </w:rPr>
      </w:pPr>
      <w:r>
        <w:rPr>
          <w:rFonts w:eastAsia="SimSun;宋体" w:cs="Arial"/>
          <w:b w:val="false"/>
          <w:i w:val="false"/>
          <w:iCs w:val="false"/>
          <w:caps w:val="false"/>
          <w:smallCaps w:val="false"/>
          <w:color w:val="000000"/>
          <w:spacing w:val="0"/>
          <w:sz w:val="22"/>
          <w:szCs w:val="22"/>
          <w:shd w:fill="auto" w:val="clear"/>
          <w:lang w:val="pt-BR" w:eastAsia="zh-CN" w:bidi="ar-SA"/>
        </w:rPr>
        <w:t>Diretora de Obras para Saúde</w:t>
      </w:r>
    </w:p>
    <w:p>
      <w:pPr>
        <w:pStyle w:val="Corpodotexto"/>
        <w:widowControl/>
        <w:spacing w:lineRule="auto" w:line="240" w:before="0" w:after="0"/>
        <w:ind w:left="0" w:right="0" w:hanging="0"/>
        <w:jc w:val="center"/>
        <w:rPr>
          <w:color w:val="auto"/>
        </w:rPr>
      </w:pPr>
      <w:r>
        <w:rPr>
          <w:rFonts w:cs="Arial"/>
          <w:b w:val="false"/>
          <w:bCs w:val="false"/>
          <w:i/>
          <w:iCs/>
          <w:caps w:val="false"/>
          <w:smallCaps w:val="false"/>
          <w:color w:val="000000"/>
          <w:spacing w:val="0"/>
          <w:sz w:val="22"/>
          <w:szCs w:val="22"/>
          <w:shd w:fill="auto" w:val="clear"/>
        </w:rPr>
        <w:t>Engenheira Civil</w:t>
      </w:r>
    </w:p>
    <w:p>
      <w:pPr>
        <w:pStyle w:val="Corpodotexto"/>
        <w:widowControl/>
        <w:spacing w:lineRule="auto" w:line="240" w:before="0" w:after="0"/>
        <w:ind w:left="0" w:right="0" w:hanging="0"/>
        <w:jc w:val="center"/>
        <w:rPr>
          <w:color w:val="auto"/>
        </w:rPr>
      </w:pPr>
      <w:r>
        <w:rPr>
          <w:rFonts w:eastAsia="Calibri" w:cs="Arial"/>
          <w:b w:val="false"/>
          <w:i/>
          <w:iCs/>
          <w:caps w:val="false"/>
          <w:smallCaps w:val="false"/>
          <w:color w:val="000000"/>
          <w:spacing w:val="0"/>
          <w:kern w:val="0"/>
          <w:sz w:val="22"/>
          <w:szCs w:val="22"/>
          <w:shd w:fill="auto" w:val="clear"/>
          <w:lang w:val="pt-BR" w:eastAsia="en-US" w:bidi="ar-SA"/>
        </w:rPr>
        <w:t>(assinado eletronicamente)</w:t>
      </w:r>
    </w:p>
    <w:p>
      <w:pPr>
        <w:pStyle w:val="Normal"/>
        <w:spacing w:lineRule="auto" w:line="240" w:before="0" w:after="0"/>
        <w:jc w:val="center"/>
        <w:rPr>
          <w:rFonts w:ascii="Arial" w:hAnsi="Arial" w:eastAsia="Calibri" w:cs="Arial"/>
          <w:color w:val="auto"/>
          <w:kern w:val="0"/>
          <w:lang w:val="pt-BR" w:eastAsia="en-US" w:bidi="ar-SA"/>
        </w:rPr>
      </w:pPr>
      <w:r>
        <w:rPr>
          <w:rFonts w:eastAsia="Calibri" w:cs="Arial" w:ascii="Arial" w:hAnsi="Arial"/>
          <w:color w:val="auto"/>
          <w:kern w:val="0"/>
          <w:lang w:val="pt-BR" w:eastAsia="en-US" w:bidi="ar-SA"/>
        </w:rPr>
      </w:r>
    </w:p>
    <w:p>
      <w:pPr>
        <w:pStyle w:val="Normal"/>
        <w:spacing w:lineRule="auto" w:line="240" w:before="0" w:after="0"/>
        <w:jc w:val="center"/>
        <w:rPr>
          <w:rFonts w:ascii="Arial" w:hAnsi="Arial" w:eastAsia="Calibri" w:cs="Arial"/>
          <w:color w:val="auto"/>
          <w:kern w:val="0"/>
          <w:lang w:val="pt-BR" w:eastAsia="en-US" w:bidi="ar-SA"/>
        </w:rPr>
      </w:pPr>
      <w:r>
        <w:rPr>
          <w:rFonts w:eastAsia="Calibri" w:cs="Arial" w:ascii="Arial" w:hAnsi="Arial"/>
          <w:color w:val="auto"/>
          <w:kern w:val="0"/>
          <w:lang w:val="pt-BR" w:eastAsia="en-US" w:bidi="ar-SA"/>
        </w:rPr>
      </w:r>
    </w:p>
    <w:p>
      <w:pPr>
        <w:pStyle w:val="Normal"/>
        <w:spacing w:lineRule="auto" w:line="240" w:before="0" w:after="0"/>
        <w:ind w:left="113" w:right="113" w:firstLine="709"/>
        <w:jc w:val="center"/>
        <w:rPr>
          <w:rFonts w:ascii="Arial" w:hAnsi="Arial" w:cs="Arial"/>
          <w:color w:val="auto"/>
          <w:sz w:val="18"/>
          <w:szCs w:val="18"/>
        </w:rPr>
      </w:pPr>
      <w:r>
        <w:rPr>
          <w:rFonts w:cs="Arial" w:ascii="Arial" w:hAnsi="Arial"/>
          <w:color w:val="auto"/>
          <w:sz w:val="18"/>
          <w:szCs w:val="18"/>
        </w:rPr>
      </w:r>
    </w:p>
    <w:p>
      <w:pPr>
        <w:pStyle w:val="Normal"/>
        <w:spacing w:lineRule="auto" w:line="240" w:before="0" w:after="0"/>
        <w:ind w:left="113" w:right="113" w:firstLine="709"/>
        <w:jc w:val="left"/>
        <w:rPr>
          <w:color w:val="auto"/>
        </w:rPr>
      </w:pPr>
      <w:r>
        <w:rPr>
          <w:rFonts w:eastAsia="Calibri" w:cs="Arial" w:ascii="Arial" w:hAnsi="Arial"/>
          <w:b/>
          <w:bCs/>
          <w:color w:val="auto"/>
          <w:kern w:val="2"/>
          <w:sz w:val="22"/>
          <w:szCs w:val="22"/>
          <w:lang w:eastAsia="zh-CN"/>
        </w:rPr>
        <w:t>Data da Elaboração</w:t>
      </w:r>
      <w:r>
        <w:rPr>
          <w:rFonts w:eastAsia="Calibri" w:cs="Arial" w:ascii="Arial" w:hAnsi="Arial"/>
          <w:color w:val="auto"/>
          <w:kern w:val="2"/>
          <w:sz w:val="22"/>
          <w:szCs w:val="22"/>
          <w:lang w:eastAsia="zh-CN"/>
        </w:rPr>
        <w:t xml:space="preserve">: </w:t>
      </w:r>
      <w:r>
        <w:rPr>
          <w:rFonts w:eastAsia="Calibri" w:cs="Arial" w:ascii="Arial" w:hAnsi="Arial"/>
          <w:color w:val="auto"/>
          <w:kern w:val="2"/>
          <w:sz w:val="22"/>
          <w:szCs w:val="22"/>
          <w:lang w:val="pt-BR" w:eastAsia="zh-CN" w:bidi="ar-SA"/>
        </w:rPr>
        <w:t>21 de maio de 2025</w:t>
      </w:r>
      <w:r>
        <w:rPr>
          <w:rFonts w:eastAsia="" w:cs="Arial" w:ascii="Arial" w:hAnsi="Arial" w:eastAsiaTheme="minorHAnsi"/>
          <w:color w:val="auto"/>
          <w:kern w:val="2"/>
          <w:sz w:val="22"/>
          <w:szCs w:val="22"/>
          <w:lang w:val="pt-BR" w:eastAsia="zh-CN" w:bidi="ar-SA"/>
        </w:rPr>
        <w:t>.</w:t>
      </w:r>
    </w:p>
    <w:p>
      <w:pPr>
        <w:pStyle w:val="Normal"/>
        <w:spacing w:lineRule="auto" w:line="240" w:before="0" w:after="0"/>
        <w:ind w:left="113" w:right="113" w:firstLine="709"/>
        <w:jc w:val="left"/>
        <w:rPr>
          <w:rFonts w:ascii="Arial" w:hAnsi="Arial" w:cs="Arial"/>
          <w:color w:val="auto"/>
          <w:sz w:val="22"/>
          <w:szCs w:val="22"/>
        </w:rPr>
      </w:pPr>
      <w:r>
        <w:rPr>
          <w:rFonts w:cs="Arial" w:ascii="Arial" w:hAnsi="Arial"/>
          <w:color w:val="auto"/>
          <w:sz w:val="22"/>
          <w:szCs w:val="22"/>
        </w:rPr>
      </w:r>
    </w:p>
    <w:p>
      <w:pPr>
        <w:pStyle w:val="Normal"/>
        <w:spacing w:lineRule="auto" w:line="240" w:before="0" w:after="0"/>
        <w:ind w:left="113" w:right="113" w:firstLine="709"/>
        <w:jc w:val="left"/>
        <w:rPr>
          <w:rFonts w:ascii="Arial" w:hAnsi="Arial" w:cs="Arial"/>
          <w:color w:val="000000"/>
          <w:sz w:val="22"/>
          <w:szCs w:val="22"/>
        </w:rPr>
      </w:pPr>
      <w:r>
        <w:rPr>
          <w:rFonts w:cs="Arial" w:ascii="Arial" w:hAnsi="Arial"/>
          <w:color w:val="000000"/>
          <w:sz w:val="22"/>
          <w:szCs w:val="22"/>
        </w:rPr>
      </w:r>
    </w:p>
    <w:p>
      <w:pPr>
        <w:pStyle w:val="Normal"/>
        <w:spacing w:lineRule="auto" w:line="240" w:before="0" w:after="0"/>
        <w:ind w:left="113" w:right="113" w:firstLine="709"/>
        <w:jc w:val="left"/>
        <w:rPr>
          <w:rFonts w:ascii="Arial" w:hAnsi="Arial" w:cs="Arial"/>
          <w:color w:val="000000"/>
          <w:sz w:val="22"/>
          <w:szCs w:val="22"/>
        </w:rPr>
      </w:pPr>
      <w:r>
        <w:rPr>
          <w:rFonts w:cs="Arial" w:ascii="Arial" w:hAnsi="Arial"/>
          <w:color w:val="000000"/>
          <w:sz w:val="22"/>
          <w:szCs w:val="22"/>
        </w:rPr>
      </w:r>
    </w:p>
    <w:p>
      <w:pPr>
        <w:pStyle w:val="Normal"/>
        <w:spacing w:lineRule="auto" w:line="240" w:before="0" w:after="0"/>
        <w:ind w:left="113" w:right="113" w:firstLine="709"/>
        <w:jc w:val="left"/>
        <w:rPr>
          <w:rFonts w:ascii="Arial" w:hAnsi="Arial" w:cs="Arial"/>
          <w:color w:val="000000"/>
          <w:sz w:val="22"/>
          <w:szCs w:val="22"/>
        </w:rPr>
      </w:pPr>
      <w:r>
        <w:rPr>
          <w:rFonts w:cs="Arial" w:ascii="Arial" w:hAnsi="Arial"/>
          <w:color w:val="000000"/>
          <w:sz w:val="22"/>
          <w:szCs w:val="22"/>
        </w:rPr>
      </w:r>
    </w:p>
    <w:p>
      <w:pPr>
        <w:pStyle w:val="Normal"/>
        <w:spacing w:lineRule="auto" w:line="240" w:before="0" w:after="0"/>
        <w:ind w:left="113" w:right="113" w:firstLine="709"/>
        <w:jc w:val="left"/>
        <w:rPr>
          <w:rFonts w:ascii="Arial" w:hAnsi="Arial" w:cs="Arial"/>
          <w:color w:val="000000"/>
          <w:sz w:val="22"/>
          <w:szCs w:val="22"/>
        </w:rPr>
      </w:pPr>
      <w:r>
        <w:rPr>
          <w:rFonts w:cs="Arial" w:ascii="Arial" w:hAnsi="Arial"/>
          <w:color w:val="000000"/>
          <w:sz w:val="22"/>
          <w:szCs w:val="22"/>
        </w:rPr>
      </w:r>
    </w:p>
    <w:p>
      <w:pPr>
        <w:pStyle w:val="Normal"/>
        <w:tabs>
          <w:tab w:val="clear" w:pos="720"/>
          <w:tab w:val="left" w:pos="979" w:leader="none"/>
        </w:tabs>
        <w:jc w:val="center"/>
        <w:rPr>
          <w:rFonts w:ascii="Arial" w:hAnsi="Arial"/>
          <w:b/>
          <w:b/>
          <w:bCs/>
          <w:sz w:val="22"/>
          <w:szCs w:val="22"/>
        </w:rPr>
      </w:pPr>
      <w:r>
        <w:rPr>
          <w:rFonts w:ascii="Arial" w:hAnsi="Arial"/>
          <w:b/>
          <w:bCs/>
          <w:sz w:val="22"/>
          <w:szCs w:val="22"/>
        </w:rPr>
        <w:t>DESPACHO DE APROVAÇÃO DA AUTORIDADE MÁXIMA</w:t>
      </w:r>
    </w:p>
    <w:p>
      <w:pPr>
        <w:pStyle w:val="Normal"/>
        <w:suppressAutoHyphens w:val="false"/>
        <w:spacing w:before="0" w:after="200"/>
        <w:ind w:left="113" w:right="113" w:firstLine="708"/>
        <w:jc w:val="both"/>
        <w:rPr>
          <w:rFonts w:ascii="Arial" w:hAnsi="Arial" w:cs="Arial"/>
          <w:bCs/>
          <w:sz w:val="22"/>
          <w:szCs w:val="22"/>
        </w:rPr>
      </w:pPr>
      <w:r>
        <w:rPr>
          <w:rFonts w:cs="Arial" w:ascii="Arial" w:hAnsi="Arial"/>
          <w:bCs/>
          <w:sz w:val="22"/>
          <w:szCs w:val="22"/>
        </w:rPr>
      </w:r>
    </w:p>
    <w:p>
      <w:pPr>
        <w:pStyle w:val="Normal"/>
        <w:suppressAutoHyphens w:val="false"/>
        <w:spacing w:before="0" w:after="200"/>
        <w:ind w:left="113" w:right="113" w:firstLine="708"/>
        <w:jc w:val="both"/>
        <w:rPr>
          <w:rFonts w:ascii="Arial" w:hAnsi="Arial"/>
          <w:sz w:val="22"/>
          <w:szCs w:val="22"/>
        </w:rPr>
      </w:pPr>
      <w:r>
        <w:rPr>
          <w:rFonts w:cs="Arial" w:ascii="Arial" w:hAnsi="Arial"/>
          <w:bCs/>
          <w:sz w:val="22"/>
          <w:szCs w:val="22"/>
        </w:rPr>
        <w:t xml:space="preserve">Em cumprimento ao estabelecido no </w:t>
      </w:r>
      <w:r>
        <w:rPr>
          <w:rFonts w:cs="Arial" w:ascii="Arial" w:hAnsi="Arial"/>
          <w:bCs/>
          <w:i/>
          <w:iCs/>
          <w:sz w:val="22"/>
          <w:szCs w:val="22"/>
        </w:rPr>
        <w:t>parágrafo único do</w:t>
      </w:r>
      <w:r>
        <w:rPr>
          <w:rFonts w:cs="Arial" w:ascii="Arial" w:hAnsi="Arial"/>
          <w:bCs/>
          <w:sz w:val="22"/>
          <w:szCs w:val="22"/>
        </w:rPr>
        <w:t xml:space="preserve"> </w:t>
      </w:r>
      <w:r>
        <w:rPr>
          <w:rFonts w:cs="Arial" w:ascii="Arial" w:hAnsi="Arial"/>
          <w:bCs/>
          <w:i/>
          <w:iCs/>
          <w:sz w:val="22"/>
          <w:szCs w:val="22"/>
        </w:rPr>
        <w:t>art. 334 do Decreto Estadual nº 10.086</w:t>
      </w:r>
      <w:r>
        <w:rPr>
          <w:rFonts w:cs="Arial" w:ascii="Arial" w:hAnsi="Arial"/>
          <w:bCs/>
          <w:sz w:val="22"/>
          <w:szCs w:val="22"/>
        </w:rPr>
        <w:t xml:space="preserve"> de janeiro de 2022:</w:t>
      </w:r>
    </w:p>
    <w:p>
      <w:pPr>
        <w:pStyle w:val="Normal"/>
        <w:numPr>
          <w:ilvl w:val="0"/>
          <w:numId w:val="3"/>
        </w:numPr>
        <w:suppressAutoHyphens w:val="false"/>
        <w:spacing w:before="0" w:after="200"/>
        <w:jc w:val="both"/>
        <w:rPr>
          <w:rFonts w:ascii="Arial" w:hAnsi="Arial"/>
          <w:sz w:val="22"/>
          <w:szCs w:val="22"/>
        </w:rPr>
      </w:pPr>
      <w:r>
        <w:rPr>
          <w:rFonts w:cs="Arial" w:ascii="Arial" w:hAnsi="Arial"/>
          <w:b/>
          <w:bCs/>
          <w:sz w:val="22"/>
          <w:szCs w:val="22"/>
        </w:rPr>
        <w:t>Aprovo</w:t>
      </w:r>
      <w:r>
        <w:rPr>
          <w:rFonts w:cs="Arial" w:ascii="Arial" w:hAnsi="Arial"/>
          <w:bCs/>
          <w:sz w:val="22"/>
          <w:szCs w:val="22"/>
        </w:rPr>
        <w:t xml:space="preserve"> o presente Termo de Referência – TR, elaborado pela área técnica competente;</w:t>
      </w:r>
    </w:p>
    <w:p>
      <w:pPr>
        <w:pStyle w:val="Normal"/>
        <w:numPr>
          <w:ilvl w:val="0"/>
          <w:numId w:val="3"/>
        </w:numPr>
        <w:suppressAutoHyphens w:val="false"/>
        <w:spacing w:before="0" w:after="200"/>
        <w:jc w:val="both"/>
        <w:rPr>
          <w:rFonts w:ascii="Arial" w:hAnsi="Arial"/>
          <w:sz w:val="22"/>
          <w:szCs w:val="22"/>
        </w:rPr>
      </w:pPr>
      <w:r>
        <w:rPr>
          <w:rFonts w:cs="Arial" w:ascii="Arial" w:hAnsi="Arial"/>
          <w:b/>
          <w:bCs/>
          <w:sz w:val="22"/>
          <w:szCs w:val="22"/>
        </w:rPr>
        <w:t xml:space="preserve">Ratifico </w:t>
      </w:r>
      <w:r>
        <w:rPr>
          <w:rFonts w:cs="Arial" w:ascii="Arial" w:hAnsi="Arial"/>
          <w:bCs/>
          <w:sz w:val="22"/>
          <w:szCs w:val="22"/>
        </w:rPr>
        <w:t>a justificativa que embasa a necessidade da contratação;</w:t>
      </w:r>
    </w:p>
    <w:p>
      <w:pPr>
        <w:pStyle w:val="Normal"/>
        <w:suppressAutoHyphens w:val="false"/>
        <w:spacing w:before="0" w:after="200"/>
        <w:ind w:left="113" w:right="113" w:firstLine="708"/>
        <w:jc w:val="both"/>
        <w:rPr>
          <w:rFonts w:ascii="Arial" w:hAnsi="Arial" w:cs="Arial"/>
          <w:bCs/>
          <w:sz w:val="22"/>
          <w:szCs w:val="22"/>
        </w:rPr>
      </w:pPr>
      <w:r>
        <w:rPr>
          <w:rFonts w:cs="Arial" w:ascii="Arial" w:hAnsi="Arial"/>
          <w:bCs/>
          <w:sz w:val="22"/>
          <w:szCs w:val="22"/>
        </w:rPr>
      </w:r>
    </w:p>
    <w:p>
      <w:pPr>
        <w:pStyle w:val="Normal"/>
        <w:suppressAutoHyphens w:val="false"/>
        <w:spacing w:before="0" w:after="200"/>
        <w:ind w:left="113" w:right="113" w:firstLine="708"/>
        <w:jc w:val="both"/>
        <w:rPr>
          <w:rFonts w:ascii="Arial" w:hAnsi="Arial"/>
          <w:sz w:val="22"/>
          <w:szCs w:val="22"/>
        </w:rPr>
      </w:pPr>
      <w:r>
        <w:rPr>
          <w:rFonts w:cs="Arial" w:ascii="Arial" w:hAnsi="Arial"/>
          <w:bCs/>
          <w:sz w:val="22"/>
          <w:szCs w:val="22"/>
        </w:rPr>
        <w:t>Ainda, com base na Motivação do Ato elaborada pela área técnica:</w:t>
      </w:r>
    </w:p>
    <w:p>
      <w:pPr>
        <w:pStyle w:val="Normal"/>
        <w:numPr>
          <w:ilvl w:val="0"/>
          <w:numId w:val="3"/>
        </w:numPr>
        <w:suppressAutoHyphens w:val="false"/>
        <w:spacing w:before="0" w:after="200"/>
        <w:jc w:val="both"/>
        <w:rPr>
          <w:rFonts w:ascii="Arial" w:hAnsi="Arial"/>
          <w:sz w:val="22"/>
          <w:szCs w:val="22"/>
        </w:rPr>
      </w:pPr>
      <w:r>
        <w:rPr>
          <w:rFonts w:cs="Arial" w:ascii="Arial" w:hAnsi="Arial"/>
          <w:b/>
          <w:bCs/>
          <w:sz w:val="22"/>
          <w:szCs w:val="22"/>
        </w:rPr>
        <w:t>Atesto</w:t>
      </w:r>
      <w:r>
        <w:rPr>
          <w:rFonts w:cs="Arial" w:ascii="Arial" w:hAnsi="Arial"/>
          <w:bCs/>
          <w:sz w:val="22"/>
          <w:szCs w:val="22"/>
        </w:rPr>
        <w:t xml:space="preserve"> o alinhamento da Contratação ao Planejamento Estratégico da instituição;</w:t>
      </w:r>
    </w:p>
    <w:p>
      <w:pPr>
        <w:pStyle w:val="Normal"/>
        <w:numPr>
          <w:ilvl w:val="0"/>
          <w:numId w:val="3"/>
        </w:numPr>
        <w:suppressAutoHyphens w:val="false"/>
        <w:spacing w:before="0" w:after="200"/>
        <w:jc w:val="both"/>
        <w:rPr>
          <w:rFonts w:ascii="Arial" w:hAnsi="Arial"/>
          <w:sz w:val="22"/>
          <w:szCs w:val="22"/>
        </w:rPr>
      </w:pPr>
      <w:r>
        <w:rPr>
          <w:rFonts w:cs="Arial" w:ascii="Arial" w:hAnsi="Arial"/>
          <w:b/>
          <w:bCs/>
          <w:sz w:val="22"/>
          <w:szCs w:val="22"/>
        </w:rPr>
        <w:t>Atesto</w:t>
      </w:r>
      <w:r>
        <w:rPr>
          <w:rFonts w:cs="Arial" w:ascii="Arial" w:hAnsi="Arial"/>
          <w:bCs/>
          <w:sz w:val="22"/>
          <w:szCs w:val="22"/>
        </w:rPr>
        <w:t xml:space="preserve"> o alinhamento do Plano de Contratações Anual – PCA da instituição;</w:t>
      </w:r>
    </w:p>
    <w:p>
      <w:pPr>
        <w:pStyle w:val="Normal"/>
        <w:numPr>
          <w:ilvl w:val="0"/>
          <w:numId w:val="3"/>
        </w:numPr>
        <w:suppressAutoHyphens w:val="false"/>
        <w:spacing w:before="0" w:after="200"/>
        <w:jc w:val="both"/>
        <w:rPr>
          <w:rFonts w:ascii="Arial" w:hAnsi="Arial"/>
          <w:sz w:val="22"/>
          <w:szCs w:val="22"/>
        </w:rPr>
      </w:pPr>
      <w:r>
        <w:rPr>
          <w:rFonts w:cs="Arial" w:ascii="Arial" w:hAnsi="Arial"/>
          <w:b/>
          <w:bCs/>
          <w:sz w:val="22"/>
          <w:szCs w:val="22"/>
        </w:rPr>
        <w:t>Ratifico</w:t>
      </w:r>
      <w:r>
        <w:rPr>
          <w:rFonts w:cs="Arial" w:ascii="Arial" w:hAnsi="Arial"/>
          <w:bCs/>
          <w:sz w:val="22"/>
          <w:szCs w:val="22"/>
        </w:rPr>
        <w:t xml:space="preserve"> os elementos contidos no orçamento estimativo e no cronograma físico-financeiro de desembolso;</w:t>
      </w:r>
    </w:p>
    <w:p>
      <w:pPr>
        <w:pStyle w:val="Normal"/>
        <w:suppressAutoHyphens w:val="false"/>
        <w:spacing w:before="0" w:after="200"/>
        <w:ind w:left="113" w:right="113" w:hanging="0"/>
        <w:jc w:val="both"/>
        <w:rPr>
          <w:sz w:val="20"/>
          <w:szCs w:val="20"/>
        </w:rPr>
      </w:pPr>
      <w:r>
        <w:rPr>
          <w:sz w:val="20"/>
          <w:szCs w:val="20"/>
        </w:rPr>
      </w:r>
    </w:p>
    <w:p>
      <w:pPr>
        <w:pStyle w:val="Normal"/>
        <w:suppressAutoHyphens w:val="false"/>
        <w:spacing w:before="0" w:after="200"/>
        <w:ind w:left="113" w:right="113" w:hanging="0"/>
        <w:jc w:val="both"/>
        <w:rPr>
          <w:sz w:val="20"/>
          <w:szCs w:val="20"/>
        </w:rPr>
      </w:pPr>
      <w:r>
        <w:rPr>
          <w:sz w:val="20"/>
          <w:szCs w:val="20"/>
        </w:rPr>
      </w:r>
    </w:p>
    <w:p>
      <w:pPr>
        <w:pStyle w:val="Normal"/>
        <w:spacing w:lineRule="auto" w:line="240" w:before="0" w:after="0"/>
        <w:jc w:val="center"/>
        <w:rPr>
          <w:color w:val="auto"/>
        </w:rPr>
      </w:pPr>
      <w:r>
        <w:rPr>
          <w:rFonts w:eastAsia="Calibri" w:cs="Arial" w:ascii="Arial" w:hAnsi="Arial"/>
          <w:i/>
          <w:iCs/>
          <w:color w:val="auto" w:themeShade="bf"/>
          <w:kern w:val="0"/>
          <w:sz w:val="22"/>
          <w:szCs w:val="22"/>
          <w:lang w:val="pt-BR" w:eastAsia="en-US" w:bidi="ar-SA"/>
        </w:rPr>
        <w:t>(assinado eletronicamente)</w:t>
      </w:r>
    </w:p>
    <w:p>
      <w:pPr>
        <w:pStyle w:val="Western"/>
        <w:spacing w:before="0" w:after="0"/>
        <w:jc w:val="center"/>
        <w:rPr>
          <w:rFonts w:ascii="Arial" w:hAnsi="Arial" w:eastAsia="Calibri" w:cs="Arial"/>
          <w:b/>
          <w:b/>
          <w:bCs/>
          <w:i w:val="false"/>
          <w:i w:val="false"/>
          <w:iCs w:val="false"/>
          <w:caps w:val="false"/>
          <w:smallCaps w:val="false"/>
          <w:color w:val="auto"/>
          <w:spacing w:val="0"/>
          <w:kern w:val="0"/>
          <w:sz w:val="22"/>
          <w:szCs w:val="22"/>
          <w:lang w:val="pt-BR" w:eastAsia="en-US" w:bidi="ar-SA"/>
        </w:rPr>
      </w:pPr>
      <w:r>
        <w:rPr>
          <w:rStyle w:val="Nfaseforte"/>
          <w:rFonts w:eastAsia="Calibri" w:cs="Arial"/>
          <w:i w:val="false"/>
          <w:iCs w:val="false"/>
          <w:caps w:val="false"/>
          <w:smallCaps w:val="false"/>
          <w:color w:val="auto"/>
          <w:spacing w:val="0"/>
          <w:kern w:val="0"/>
          <w:sz w:val="22"/>
          <w:szCs w:val="22"/>
          <w:lang w:val="pt-BR" w:eastAsia="en-US" w:bidi="ar-SA"/>
        </w:rPr>
        <w:t>Beto Preto</w:t>
      </w:r>
    </w:p>
    <w:p>
      <w:pPr>
        <w:pStyle w:val="NormalWeb"/>
        <w:spacing w:before="0" w:after="0"/>
        <w:jc w:val="center"/>
        <w:rPr>
          <w:rFonts w:ascii="Arial" w:hAnsi="Arial" w:eastAsia="Calibri" w:cs="Arial"/>
          <w:b w:val="false"/>
          <w:b w:val="false"/>
          <w:bCs w:val="false"/>
          <w:color w:val="auto"/>
          <w:kern w:val="0"/>
          <w:sz w:val="22"/>
          <w:szCs w:val="22"/>
          <w:lang w:val="pt-BR" w:eastAsia="en-US" w:bidi="ar-SA"/>
        </w:rPr>
      </w:pPr>
      <w:r>
        <w:rPr>
          <w:rFonts w:eastAsia="Calibri" w:cs="Arial" w:ascii="Arial" w:hAnsi="Arial"/>
          <w:b w:val="false"/>
          <w:bCs w:val="false"/>
          <w:color w:val="auto"/>
          <w:kern w:val="0"/>
          <w:sz w:val="22"/>
          <w:szCs w:val="22"/>
          <w:lang w:val="pt-BR" w:eastAsia="en-US" w:bidi="ar-SA"/>
        </w:rPr>
        <w:t xml:space="preserve">Carlos Alberto Gebrim Preto </w:t>
      </w:r>
    </w:p>
    <w:p>
      <w:pPr>
        <w:pStyle w:val="NormalWeb"/>
        <w:tabs>
          <w:tab w:val="clear" w:pos="720"/>
          <w:tab w:val="left" w:pos="567" w:leader="none"/>
        </w:tabs>
        <w:spacing w:lineRule="auto" w:line="240" w:before="0" w:after="0"/>
        <w:ind w:left="113" w:right="113" w:hanging="0"/>
        <w:jc w:val="center"/>
        <w:rPr>
          <w:color w:val="auto"/>
        </w:rPr>
      </w:pPr>
      <w:r>
        <w:rPr>
          <w:rFonts w:eastAsia="Calibri" w:cs="Arial" w:ascii="Arial" w:hAnsi="Arial"/>
          <w:b w:val="false"/>
          <w:bCs w:val="false"/>
          <w:color w:val="auto"/>
          <w:kern w:val="0"/>
          <w:sz w:val="22"/>
          <w:szCs w:val="22"/>
          <w:lang w:val="pt-BR" w:eastAsia="en-US" w:bidi="ar-SA"/>
        </w:rPr>
        <w:t>Secretário de Estado da Saúde</w:t>
      </w:r>
    </w:p>
    <w:sectPr>
      <w:headerReference w:type="default" r:id="rId2"/>
      <w:footerReference w:type="default" r:id="rId3"/>
      <w:footnotePr>
        <w:numFmt w:val="decimal"/>
      </w:footnotePr>
      <w:type w:val="nextPage"/>
      <w:pgSz w:w="11906" w:h="16838"/>
      <w:pgMar w:left="1134" w:right="1127" w:gutter="0" w:header="567" w:top="2665" w:footer="709" w:bottom="1701"/>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Cambria">
    <w:charset w:val="01"/>
    <w:family w:val="swiss"/>
    <w:pitch w:val="default"/>
  </w:font>
  <w:font w:name="Arial">
    <w:charset w:val="01"/>
    <w:family w:val="swiss"/>
    <w:pitch w:val="default"/>
  </w:font>
  <w:font w:name="Times New Roman">
    <w:charset w:val="01"/>
    <w:family w:val="swiss"/>
    <w:pitch w:val="default"/>
  </w:font>
  <w:font w:name="Tahoma">
    <w:charset w:val="01"/>
    <w:family w:val="swiss"/>
    <w:pitch w:val="default"/>
  </w:font>
  <w:font w:name="Arial MT">
    <w:charset w:val="01"/>
    <w:family w:val="swiss"/>
    <w:pitch w:val="default"/>
  </w:font>
  <w:font w:name="OpenSymbol">
    <w:altName w:val="Arial Unicode MS"/>
    <w:charset w:val="01"/>
    <w:family w:val="swiss"/>
    <w:pitch w:val="default"/>
  </w:font>
  <w:font w:name="Liberation Sans">
    <w:altName w:val="Arial"/>
    <w:charset w:val="01"/>
    <w:family w:val="swiss"/>
    <w:pitch w:val="default"/>
  </w:font>
  <w:font w:name="Swis721 BdCnOul BT">
    <w:charset w:val="01"/>
    <w:family w:val="swiss"/>
    <w:pitch w:val="default"/>
  </w:font>
  <w:font w:name="Arial Unicode MS">
    <w:charset w:val="01"/>
    <w:family w:val="swiss"/>
    <w:pitch w:val="default"/>
  </w:font>
  <w:font w:name="Arial">
    <w:altName w:val="Helvetica"/>
    <w:charset w:val="01"/>
    <w:family w:val="swiss"/>
    <w:pitch w:val="default"/>
  </w:font>
  <w:font w:name="Leelawadee">
    <w:charset w:val="01"/>
    <w:family w:val="swiss"/>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r>
  </w:p>
  <w:p>
    <w:pPr>
      <w:pStyle w:val="Normal"/>
      <w:spacing w:lineRule="auto" w:line="240" w:before="0" w:after="0"/>
      <w:jc w:val="center"/>
      <w:rPr>
        <w:rFonts w:ascii="Times New Roman" w:hAnsi="Times New Roman" w:eastAsia="Times New Roman" w:cs="Times New Roman"/>
        <w:kern w:val="2"/>
        <w:sz w:val="14"/>
        <w:szCs w:val="14"/>
        <w:lang w:eastAsia="zh-CN"/>
      </w:rPr>
    </w:pPr>
    <w:r>
      <w:rPr>
        <w:rFonts w:eastAsia="Times New Roman" w:cs="Times New Roman" w:ascii="Times New Roman" w:hAnsi="Times New Roman"/>
        <w:kern w:val="2"/>
        <w:sz w:val="14"/>
        <w:szCs w:val="14"/>
        <w:lang w:eastAsia="zh-CN"/>
      </w:rPr>
      <w:drawing>
        <wp:anchor behindDoc="1" distT="0" distB="0" distL="0" distR="0" simplePos="0" locked="0" layoutInCell="0" allowOverlap="1" relativeHeight="41">
          <wp:simplePos x="0" y="0"/>
          <wp:positionH relativeFrom="column">
            <wp:posOffset>6350</wp:posOffset>
          </wp:positionH>
          <wp:positionV relativeFrom="paragraph">
            <wp:posOffset>33020</wp:posOffset>
          </wp:positionV>
          <wp:extent cx="6120130" cy="57785"/>
          <wp:effectExtent l="0" t="0" r="0" b="0"/>
          <wp:wrapSquare wrapText="largest"/>
          <wp:docPr id="2"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4" descr=""/>
                  <pic:cNvPicPr>
                    <a:picLocks noChangeAspect="1" noChangeArrowheads="1"/>
                  </pic:cNvPicPr>
                </pic:nvPicPr>
                <pic:blipFill>
                  <a:blip r:embed="rId1"/>
                  <a:srcRect l="-162" t="-8374" r="-162" b="-8374"/>
                  <a:stretch>
                    <a:fillRect/>
                  </a:stretch>
                </pic:blipFill>
                <pic:spPr bwMode="auto">
                  <a:xfrm>
                    <a:off x="0" y="0"/>
                    <a:ext cx="6120130" cy="57785"/>
                  </a:xfrm>
                  <a:prstGeom prst="rect">
                    <a:avLst/>
                  </a:prstGeom>
                </pic:spPr>
              </pic:pic>
            </a:graphicData>
          </a:graphic>
        </wp:anchor>
      </w:drawing>
    </w:r>
  </w:p>
  <w:p>
    <w:pPr>
      <w:pStyle w:val="Normal"/>
      <w:spacing w:lineRule="auto" w:line="240" w:before="0" w:after="0"/>
      <w:jc w:val="center"/>
      <w:rPr>
        <w:rFonts w:ascii="Times New Roman" w:hAnsi="Times New Roman" w:eastAsia="Times New Roman" w:cs="Times New Roman"/>
        <w:kern w:val="2"/>
        <w:sz w:val="14"/>
        <w:szCs w:val="14"/>
        <w:lang w:eastAsia="zh-CN"/>
      </w:rPr>
    </w:pPr>
    <w:r>
      <w:rPr>
        <w:rFonts w:eastAsia="Times New Roman" w:cs="Leelawadee" w:ascii="Leelawadee" w:hAnsi="Leelawadee"/>
        <w:b/>
        <w:bCs/>
        <w:color w:val="000000"/>
        <w:kern w:val="2"/>
        <w:sz w:val="14"/>
        <w:szCs w:val="14"/>
        <w:lang w:eastAsia="pt-BR"/>
      </w:rPr>
      <w:t>Coordenação de Projetos | Diretoria Geral</w:t>
    </w:r>
  </w:p>
  <w:p>
    <w:pPr>
      <w:pStyle w:val="Normal"/>
      <w:spacing w:lineRule="auto" w:line="240" w:before="0" w:after="0"/>
      <w:jc w:val="center"/>
      <w:rPr>
        <w:rFonts w:ascii="Times New Roman" w:hAnsi="Times New Roman" w:eastAsia="Times New Roman" w:cs="Times New Roman"/>
        <w:kern w:val="2"/>
        <w:sz w:val="14"/>
        <w:szCs w:val="14"/>
        <w:lang w:eastAsia="zh-CN"/>
      </w:rPr>
    </w:pPr>
    <w:r>
      <w:rPr>
        <w:rFonts w:eastAsia="Times New Roman" w:cs="Leelawadee" w:ascii="Leelawadee" w:hAnsi="Leelawadee"/>
        <w:color w:val="000000"/>
        <w:kern w:val="2"/>
        <w:sz w:val="14"/>
        <w:szCs w:val="14"/>
        <w:lang w:eastAsia="pt-BR"/>
      </w:rPr>
      <w:t>Rua Piquiri, 170, Rebouças – 80.230-140 – Curitiba – Paraná – Brasil – Fone: (41) 3330-4</w:t>
    </w:r>
    <w:r>
      <w:rPr>
        <w:rFonts w:eastAsia="Times New Roman" w:cs="Leelawadee" w:ascii="Leelawadee" w:hAnsi="Leelawadee"/>
        <w:color w:val="000000"/>
        <w:kern w:val="2"/>
        <w:sz w:val="14"/>
        <w:szCs w:val="14"/>
        <w:lang w:val="pt-BR" w:eastAsia="pt-BR" w:bidi="ar-SA"/>
      </w:rPr>
      <w:t>411</w:t>
    </w:r>
  </w:p>
  <w:p>
    <w:pPr>
      <w:pStyle w:val="Normal"/>
      <w:spacing w:lineRule="auto" w:line="240" w:before="0" w:after="0"/>
      <w:jc w:val="center"/>
      <w:rPr>
        <w:rFonts w:ascii="Leelawadee" w:hAnsi="Leelawadee" w:eastAsia="Times New Roman" w:cs="Leelawadee"/>
        <w:kern w:val="2"/>
        <w:sz w:val="14"/>
        <w:szCs w:val="14"/>
        <w:lang w:eastAsia="pt-BR"/>
      </w:rPr>
    </w:pPr>
    <w:r>
      <w:rPr>
        <w:rFonts w:eastAsia="Times New Roman" w:cs="Leelawadee" w:ascii="Leelawadee" w:hAnsi="Leelawadee"/>
        <w:kern w:val="2"/>
        <w:sz w:val="14"/>
        <w:szCs w:val="14"/>
        <w:lang w:eastAsia="pt-BR"/>
      </w:rPr>
      <w:t xml:space="preserve">www.saude.pr.gov.br </w:t>
    </w:r>
  </w:p>
  <w:p>
    <w:pPr>
      <w:pStyle w:val="Normal"/>
      <w:spacing w:lineRule="auto" w:line="240" w:before="0" w:after="0"/>
      <w:jc w:val="right"/>
      <w:rPr>
        <w:rFonts w:ascii="Leelawadee" w:hAnsi="Leelawadee" w:eastAsia="Times New Roman" w:cs="Leelawadee"/>
        <w:kern w:val="2"/>
        <w:sz w:val="14"/>
        <w:szCs w:val="14"/>
        <w:lang w:eastAsia="pt-BR"/>
      </w:rPr>
    </w:pPr>
    <w:r>
      <w:rPr/>
      <w:fldChar w:fldCharType="begin"/>
    </w:r>
    <w:r>
      <w:rPr/>
      <w:instrText> PAGE </w:instrText>
    </w:r>
    <w:r>
      <w:rPr/>
      <w:fldChar w:fldCharType="separate"/>
    </w:r>
    <w:r>
      <w:rPr/>
      <w:t>20</w:t>
    </w:r>
    <w:r>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pPr>
        <w:rPr>
          <w:sz w:val="12"/>
        </w:rPr>
      </w:pPr>
      <w:r/>
    </w:p>
  </w:footnote>
  <w:footnote w:id="1" w:type="continuationSeparator">
    <w:p>
      <w:pPr>
        <w:rPr>
          <w:sz w:val="12"/>
        </w:rPr>
      </w:pPr>
      <w:r/>
    </w:p>
  </w:footnote>
  <w:footnote w:id="2">
    <w:p>
      <w:pPr>
        <w:pStyle w:val="Notaderodap"/>
        <w:rPr/>
      </w:pPr>
      <w:r>
        <w:rPr>
          <w:rStyle w:val="Caracteresdenotaderodap"/>
        </w:rPr>
        <w:footnoteRef/>
      </w: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pPr>
    <w:r>
      <w:rPr/>
      <w:drawing>
        <wp:anchor behindDoc="1" distT="0" distB="0" distL="0" distR="0" simplePos="0" locked="0" layoutInCell="0" allowOverlap="1" relativeHeight="21">
          <wp:simplePos x="0" y="0"/>
          <wp:positionH relativeFrom="column">
            <wp:posOffset>4152900</wp:posOffset>
          </wp:positionH>
          <wp:positionV relativeFrom="paragraph">
            <wp:posOffset>-6985</wp:posOffset>
          </wp:positionV>
          <wp:extent cx="2093595" cy="1054735"/>
          <wp:effectExtent l="0" t="0" r="0" b="0"/>
          <wp:wrapNone/>
          <wp:docPr id="1"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3" descr=""/>
                  <pic:cNvPicPr>
                    <a:picLocks noChangeAspect="1" noChangeArrowheads="1"/>
                  </pic:cNvPicPr>
                </pic:nvPicPr>
                <pic:blipFill>
                  <a:blip r:embed="rId1"/>
                  <a:srcRect l="-118" t="-231" r="-118" b="-231"/>
                  <a:stretch>
                    <a:fillRect/>
                  </a:stretch>
                </pic:blipFill>
                <pic:spPr bwMode="auto">
                  <a:xfrm>
                    <a:off x="0" y="0"/>
                    <a:ext cx="2093595" cy="1054735"/>
                  </a:xfrm>
                  <a:prstGeom prst="rect">
                    <a:avLst/>
                  </a:prstGeom>
                </pic:spPr>
              </pic:pic>
            </a:graphicData>
          </a:graphic>
        </wp:anchor>
      </w:drawing>
    </w:r>
  </w:p>
  <w:p>
    <w:pPr>
      <w:pStyle w:val="Normal"/>
      <w:spacing w:before="0" w:after="360"/>
      <w:rPr/>
    </w:pPr>
    <w:r>
      <w:rPr/>
      <w:t xml:space="preserve"> </w:t>
    </w:r>
  </w:p>
  <w:p>
    <w:pPr>
      <w:pStyle w:val="Cabealho"/>
      <w:jc w:val="right"/>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b/>
      </w:rPr>
    </w:lvl>
    <w:lvl w:ilvl="2">
      <w:start w:val="1"/>
      <w:numFmt w:val="decimal"/>
      <w:lvlText w:val="%1.%2.%3."/>
      <w:lvlJc w:val="left"/>
      <w:pPr>
        <w:tabs>
          <w:tab w:val="num" w:pos="567"/>
        </w:tabs>
        <w:ind w:left="567" w:firstLine="567"/>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0"/>
        </w:tabs>
        <w:ind w:left="1540" w:hanging="360"/>
      </w:pPr>
      <w:rPr>
        <w:rFonts w:ascii="Symbol" w:hAnsi="Symbol" w:cs="Symbol" w:hint="default"/>
      </w:rPr>
    </w:lvl>
    <w:lvl w:ilvl="1">
      <w:start w:val="1"/>
      <w:numFmt w:val="bullet"/>
      <w:lvlText w:val="o"/>
      <w:lvlJc w:val="left"/>
      <w:pPr>
        <w:tabs>
          <w:tab w:val="num" w:pos="0"/>
        </w:tabs>
        <w:ind w:left="2260" w:hanging="360"/>
      </w:pPr>
      <w:rPr>
        <w:rFonts w:ascii="Courier New" w:hAnsi="Courier New" w:cs="Courier New" w:hint="default"/>
      </w:rPr>
    </w:lvl>
    <w:lvl w:ilvl="2">
      <w:start w:val="1"/>
      <w:numFmt w:val="bullet"/>
      <w:lvlText w:val=""/>
      <w:lvlJc w:val="left"/>
      <w:pPr>
        <w:tabs>
          <w:tab w:val="num" w:pos="0"/>
        </w:tabs>
        <w:ind w:left="2980" w:hanging="360"/>
      </w:pPr>
      <w:rPr>
        <w:rFonts w:ascii="Wingdings" w:hAnsi="Wingdings" w:cs="Wingdings" w:hint="default"/>
      </w:rPr>
    </w:lvl>
    <w:lvl w:ilvl="3">
      <w:start w:val="1"/>
      <w:numFmt w:val="bullet"/>
      <w:lvlText w:val=""/>
      <w:lvlJc w:val="left"/>
      <w:pPr>
        <w:tabs>
          <w:tab w:val="num" w:pos="0"/>
        </w:tabs>
        <w:ind w:left="3700" w:hanging="360"/>
      </w:pPr>
      <w:rPr>
        <w:rFonts w:ascii="Symbol" w:hAnsi="Symbol" w:cs="Symbol" w:hint="default"/>
      </w:rPr>
    </w:lvl>
    <w:lvl w:ilvl="4">
      <w:start w:val="1"/>
      <w:numFmt w:val="bullet"/>
      <w:lvlText w:val="o"/>
      <w:lvlJc w:val="left"/>
      <w:pPr>
        <w:tabs>
          <w:tab w:val="num" w:pos="0"/>
        </w:tabs>
        <w:ind w:left="4420" w:hanging="360"/>
      </w:pPr>
      <w:rPr>
        <w:rFonts w:ascii="Courier New" w:hAnsi="Courier New" w:cs="Courier New" w:hint="default"/>
      </w:rPr>
    </w:lvl>
    <w:lvl w:ilvl="5">
      <w:start w:val="1"/>
      <w:numFmt w:val="bullet"/>
      <w:lvlText w:val=""/>
      <w:lvlJc w:val="left"/>
      <w:pPr>
        <w:tabs>
          <w:tab w:val="num" w:pos="0"/>
        </w:tabs>
        <w:ind w:left="5140" w:hanging="360"/>
      </w:pPr>
      <w:rPr>
        <w:rFonts w:ascii="Wingdings" w:hAnsi="Wingdings" w:cs="Wingdings" w:hint="default"/>
      </w:rPr>
    </w:lvl>
    <w:lvl w:ilvl="6">
      <w:start w:val="1"/>
      <w:numFmt w:val="bullet"/>
      <w:lvlText w:val=""/>
      <w:lvlJc w:val="left"/>
      <w:pPr>
        <w:tabs>
          <w:tab w:val="num" w:pos="0"/>
        </w:tabs>
        <w:ind w:left="5860" w:hanging="360"/>
      </w:pPr>
      <w:rPr>
        <w:rFonts w:ascii="Symbol" w:hAnsi="Symbol" w:cs="Symbol" w:hint="default"/>
      </w:rPr>
    </w:lvl>
    <w:lvl w:ilvl="7">
      <w:start w:val="1"/>
      <w:numFmt w:val="bullet"/>
      <w:lvlText w:val="o"/>
      <w:lvlJc w:val="left"/>
      <w:pPr>
        <w:tabs>
          <w:tab w:val="num" w:pos="0"/>
        </w:tabs>
        <w:ind w:left="6580" w:hanging="360"/>
      </w:pPr>
      <w:rPr>
        <w:rFonts w:ascii="Courier New" w:hAnsi="Courier New" w:cs="Courier New" w:hint="default"/>
      </w:rPr>
    </w:lvl>
    <w:lvl w:ilvl="8">
      <w:start w:val="1"/>
      <w:numFmt w:val="bullet"/>
      <w:lvlText w:val=""/>
      <w:lvlJc w:val="left"/>
      <w:pPr>
        <w:tabs>
          <w:tab w:val="num" w:pos="0"/>
        </w:tabs>
        <w:ind w:left="730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2970" w:hanging="360"/>
      </w:pPr>
      <w:rPr>
        <w:rFonts w:ascii="Symbol" w:hAnsi="Symbol" w:cs="Symbol" w:hint="default"/>
      </w:rPr>
    </w:lvl>
    <w:lvl w:ilvl="1">
      <w:start w:val="1"/>
      <w:numFmt w:val="bullet"/>
      <w:lvlText w:val="o"/>
      <w:lvlJc w:val="left"/>
      <w:pPr>
        <w:tabs>
          <w:tab w:val="num" w:pos="0"/>
        </w:tabs>
        <w:ind w:left="3690" w:hanging="360"/>
      </w:pPr>
      <w:rPr>
        <w:rFonts w:ascii="Courier New" w:hAnsi="Courier New" w:cs="Courier New" w:hint="default"/>
      </w:rPr>
    </w:lvl>
    <w:lvl w:ilvl="2">
      <w:start w:val="1"/>
      <w:numFmt w:val="bullet"/>
      <w:lvlText w:val=""/>
      <w:lvlJc w:val="left"/>
      <w:pPr>
        <w:tabs>
          <w:tab w:val="num" w:pos="0"/>
        </w:tabs>
        <w:ind w:left="4410" w:hanging="360"/>
      </w:pPr>
      <w:rPr>
        <w:rFonts w:ascii="Wingdings" w:hAnsi="Wingdings" w:cs="Wingdings" w:hint="default"/>
      </w:rPr>
    </w:lvl>
    <w:lvl w:ilvl="3">
      <w:start w:val="1"/>
      <w:numFmt w:val="bullet"/>
      <w:lvlText w:val=""/>
      <w:lvlJc w:val="left"/>
      <w:pPr>
        <w:tabs>
          <w:tab w:val="num" w:pos="0"/>
        </w:tabs>
        <w:ind w:left="5130" w:hanging="360"/>
      </w:pPr>
      <w:rPr>
        <w:rFonts w:ascii="Symbol" w:hAnsi="Symbol" w:cs="Symbol" w:hint="default"/>
      </w:rPr>
    </w:lvl>
    <w:lvl w:ilvl="4">
      <w:start w:val="1"/>
      <w:numFmt w:val="bullet"/>
      <w:lvlText w:val="o"/>
      <w:lvlJc w:val="left"/>
      <w:pPr>
        <w:tabs>
          <w:tab w:val="num" w:pos="0"/>
        </w:tabs>
        <w:ind w:left="5850" w:hanging="360"/>
      </w:pPr>
      <w:rPr>
        <w:rFonts w:ascii="Courier New" w:hAnsi="Courier New" w:cs="Courier New" w:hint="default"/>
      </w:rPr>
    </w:lvl>
    <w:lvl w:ilvl="5">
      <w:start w:val="1"/>
      <w:numFmt w:val="bullet"/>
      <w:lvlText w:val=""/>
      <w:lvlJc w:val="left"/>
      <w:pPr>
        <w:tabs>
          <w:tab w:val="num" w:pos="0"/>
        </w:tabs>
        <w:ind w:left="6570" w:hanging="360"/>
      </w:pPr>
      <w:rPr>
        <w:rFonts w:ascii="Wingdings" w:hAnsi="Wingdings" w:cs="Wingdings" w:hint="default"/>
      </w:rPr>
    </w:lvl>
    <w:lvl w:ilvl="6">
      <w:start w:val="1"/>
      <w:numFmt w:val="bullet"/>
      <w:lvlText w:val=""/>
      <w:lvlJc w:val="left"/>
      <w:pPr>
        <w:tabs>
          <w:tab w:val="num" w:pos="0"/>
        </w:tabs>
        <w:ind w:left="7290" w:hanging="360"/>
      </w:pPr>
      <w:rPr>
        <w:rFonts w:ascii="Symbol" w:hAnsi="Symbol" w:cs="Symbol" w:hint="default"/>
      </w:rPr>
    </w:lvl>
    <w:lvl w:ilvl="7">
      <w:start w:val="1"/>
      <w:numFmt w:val="bullet"/>
      <w:lvlText w:val="o"/>
      <w:lvlJc w:val="left"/>
      <w:pPr>
        <w:tabs>
          <w:tab w:val="num" w:pos="0"/>
        </w:tabs>
        <w:ind w:left="8010" w:hanging="360"/>
      </w:pPr>
      <w:rPr>
        <w:rFonts w:ascii="Courier New" w:hAnsi="Courier New" w:cs="Courier New" w:hint="default"/>
      </w:rPr>
    </w:lvl>
    <w:lvl w:ilvl="8">
      <w:start w:val="1"/>
      <w:numFmt w:val="bullet"/>
      <w:lvlText w:val=""/>
      <w:lvlJc w:val="left"/>
      <w:pPr>
        <w:tabs>
          <w:tab w:val="num" w:pos="0"/>
        </w:tabs>
        <w:ind w:left="8730" w:hanging="360"/>
      </w:pPr>
      <w:rPr>
        <w:rFonts w:ascii="Wingdings" w:hAnsi="Wingdings" w:cs="Wingdings" w:hint="default"/>
      </w:rPr>
    </w:lvl>
  </w:abstractNum>
  <w:abstractNum w:abstractNumId="5">
    <w:lvl w:ilvl="0">
      <w:start w:val="1"/>
      <w:numFmt w:val="upperRoman"/>
      <w:lvlText w:val="%1."/>
      <w:lvlJc w:val="right"/>
      <w:pPr>
        <w:tabs>
          <w:tab w:val="num" w:pos="0"/>
        </w:tabs>
        <w:ind w:left="1854" w:hanging="360"/>
      </w:pPr>
    </w:lvl>
    <w:lvl w:ilvl="1">
      <w:start w:val="1"/>
      <w:numFmt w:val="lowerLetter"/>
      <w:lvlText w:val="%2."/>
      <w:lvlJc w:val="left"/>
      <w:pPr>
        <w:tabs>
          <w:tab w:val="num" w:pos="0"/>
        </w:tabs>
        <w:ind w:left="2574" w:hanging="360"/>
      </w:pPr>
    </w:lvl>
    <w:lvl w:ilvl="2">
      <w:start w:val="1"/>
      <w:numFmt w:val="lowerRoman"/>
      <w:lvlText w:val="%3."/>
      <w:lvlJc w:val="right"/>
      <w:pPr>
        <w:tabs>
          <w:tab w:val="num" w:pos="0"/>
        </w:tabs>
        <w:ind w:left="3294" w:hanging="18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6">
    <w:lvl w:ilvl="0">
      <w:start w:val="1"/>
      <w:numFmt w:val="bullet"/>
      <w:lvlText w:val=""/>
      <w:lvlJc w:val="left"/>
      <w:pPr>
        <w:tabs>
          <w:tab w:val="num" w:pos="0"/>
        </w:tabs>
        <w:ind w:left="1540" w:hanging="360"/>
      </w:pPr>
      <w:rPr>
        <w:rFonts w:ascii="Symbol" w:hAnsi="Symbol" w:cs="Symbol" w:hint="default"/>
      </w:rPr>
    </w:lvl>
    <w:lvl w:ilvl="1">
      <w:start w:val="1"/>
      <w:numFmt w:val="bullet"/>
      <w:lvlText w:val="o"/>
      <w:lvlJc w:val="left"/>
      <w:pPr>
        <w:tabs>
          <w:tab w:val="num" w:pos="0"/>
        </w:tabs>
        <w:ind w:left="2260" w:hanging="360"/>
      </w:pPr>
      <w:rPr>
        <w:rFonts w:ascii="Courier New" w:hAnsi="Courier New" w:cs="Courier New" w:hint="default"/>
      </w:rPr>
    </w:lvl>
    <w:lvl w:ilvl="2">
      <w:start w:val="1"/>
      <w:numFmt w:val="bullet"/>
      <w:lvlText w:val=""/>
      <w:lvlJc w:val="left"/>
      <w:pPr>
        <w:tabs>
          <w:tab w:val="num" w:pos="0"/>
        </w:tabs>
        <w:ind w:left="2980" w:hanging="360"/>
      </w:pPr>
      <w:rPr>
        <w:rFonts w:ascii="Symbol" w:hAnsi="Symbol" w:cs="Symbol" w:hint="default"/>
      </w:rPr>
    </w:lvl>
    <w:lvl w:ilvl="3">
      <w:start w:val="1"/>
      <w:numFmt w:val="bullet"/>
      <w:lvlText w:val=""/>
      <w:lvlJc w:val="left"/>
      <w:pPr>
        <w:tabs>
          <w:tab w:val="num" w:pos="0"/>
        </w:tabs>
        <w:ind w:left="3700" w:hanging="360"/>
      </w:pPr>
      <w:rPr>
        <w:rFonts w:ascii="Symbol" w:hAnsi="Symbol" w:cs="Symbol" w:hint="default"/>
      </w:rPr>
    </w:lvl>
    <w:lvl w:ilvl="4">
      <w:start w:val="1"/>
      <w:numFmt w:val="bullet"/>
      <w:lvlText w:val="o"/>
      <w:lvlJc w:val="left"/>
      <w:pPr>
        <w:tabs>
          <w:tab w:val="num" w:pos="0"/>
        </w:tabs>
        <w:ind w:left="4420" w:hanging="360"/>
      </w:pPr>
      <w:rPr>
        <w:rFonts w:ascii="Courier New" w:hAnsi="Courier New" w:cs="Courier New" w:hint="default"/>
      </w:rPr>
    </w:lvl>
    <w:lvl w:ilvl="5">
      <w:start w:val="1"/>
      <w:numFmt w:val="bullet"/>
      <w:lvlText w:val=""/>
      <w:lvlJc w:val="left"/>
      <w:pPr>
        <w:tabs>
          <w:tab w:val="num" w:pos="0"/>
        </w:tabs>
        <w:ind w:left="5140" w:hanging="360"/>
      </w:pPr>
      <w:rPr>
        <w:rFonts w:ascii="Wingdings" w:hAnsi="Wingdings" w:cs="Wingdings" w:hint="default"/>
      </w:rPr>
    </w:lvl>
    <w:lvl w:ilvl="6">
      <w:start w:val="1"/>
      <w:numFmt w:val="bullet"/>
      <w:lvlText w:val=""/>
      <w:lvlJc w:val="left"/>
      <w:pPr>
        <w:tabs>
          <w:tab w:val="num" w:pos="0"/>
        </w:tabs>
        <w:ind w:left="5860" w:hanging="360"/>
      </w:pPr>
      <w:rPr>
        <w:rFonts w:ascii="Symbol" w:hAnsi="Symbol" w:cs="Symbol" w:hint="default"/>
      </w:rPr>
    </w:lvl>
    <w:lvl w:ilvl="7">
      <w:start w:val="1"/>
      <w:numFmt w:val="bullet"/>
      <w:lvlText w:val="o"/>
      <w:lvlJc w:val="left"/>
      <w:pPr>
        <w:tabs>
          <w:tab w:val="num" w:pos="0"/>
        </w:tabs>
        <w:ind w:left="6580" w:hanging="360"/>
      </w:pPr>
      <w:rPr>
        <w:rFonts w:ascii="Courier New" w:hAnsi="Courier New" w:cs="Courier New" w:hint="default"/>
      </w:rPr>
    </w:lvl>
    <w:lvl w:ilvl="8">
      <w:start w:val="1"/>
      <w:numFmt w:val="bullet"/>
      <w:lvlText w:val=""/>
      <w:lvlJc w:val="left"/>
      <w:pPr>
        <w:tabs>
          <w:tab w:val="num" w:pos="0"/>
        </w:tabs>
        <w:ind w:left="7300" w:hanging="360"/>
      </w:pPr>
      <w:rPr>
        <w:rFonts w:ascii="Wingdings" w:hAnsi="Wingdings" w:cs="Wingdings" w:hint="default"/>
      </w:rPr>
    </w:lvl>
  </w:abstractNum>
  <w:abstractNum w:abstractNumId="7">
    <w:lvl w:ilvl="0">
      <w:start w:val="1"/>
      <w:numFmt w:val="lowerLetter"/>
      <w:lvlText w:val="%1."/>
      <w:lvlJc w:val="left"/>
      <w:pPr>
        <w:tabs>
          <w:tab w:val="num" w:pos="0"/>
        </w:tabs>
        <w:ind w:left="832" w:hanging="360"/>
      </w:pPr>
    </w:lvl>
    <w:lvl w:ilvl="1">
      <w:start w:val="1"/>
      <w:numFmt w:val="lowerLetter"/>
      <w:lvlText w:val="%2."/>
      <w:lvlJc w:val="left"/>
      <w:pPr>
        <w:tabs>
          <w:tab w:val="num" w:pos="0"/>
        </w:tabs>
        <w:ind w:left="1552" w:hanging="360"/>
      </w:pPr>
    </w:lvl>
    <w:lvl w:ilvl="2">
      <w:start w:val="1"/>
      <w:numFmt w:val="lowerRoman"/>
      <w:lvlText w:val="%3."/>
      <w:lvlJc w:val="right"/>
      <w:pPr>
        <w:tabs>
          <w:tab w:val="num" w:pos="0"/>
        </w:tabs>
        <w:ind w:left="2272" w:hanging="180"/>
      </w:pPr>
    </w:lvl>
    <w:lvl w:ilvl="3">
      <w:start w:val="1"/>
      <w:numFmt w:val="decimal"/>
      <w:lvlText w:val="%4."/>
      <w:lvlJc w:val="left"/>
      <w:pPr>
        <w:tabs>
          <w:tab w:val="num" w:pos="0"/>
        </w:tabs>
        <w:ind w:left="2992" w:hanging="360"/>
      </w:pPr>
    </w:lvl>
    <w:lvl w:ilvl="4">
      <w:start w:val="1"/>
      <w:numFmt w:val="lowerLetter"/>
      <w:lvlText w:val="%5."/>
      <w:lvlJc w:val="left"/>
      <w:pPr>
        <w:tabs>
          <w:tab w:val="num" w:pos="0"/>
        </w:tabs>
        <w:ind w:left="3712" w:hanging="360"/>
      </w:pPr>
    </w:lvl>
    <w:lvl w:ilvl="5">
      <w:start w:val="1"/>
      <w:numFmt w:val="lowerRoman"/>
      <w:lvlText w:val="%6."/>
      <w:lvlJc w:val="right"/>
      <w:pPr>
        <w:tabs>
          <w:tab w:val="num" w:pos="0"/>
        </w:tabs>
        <w:ind w:left="4432" w:hanging="180"/>
      </w:pPr>
    </w:lvl>
    <w:lvl w:ilvl="6">
      <w:start w:val="1"/>
      <w:numFmt w:val="decimal"/>
      <w:lvlText w:val="%7."/>
      <w:lvlJc w:val="left"/>
      <w:pPr>
        <w:tabs>
          <w:tab w:val="num" w:pos="0"/>
        </w:tabs>
        <w:ind w:left="5152" w:hanging="360"/>
      </w:pPr>
    </w:lvl>
    <w:lvl w:ilvl="7">
      <w:start w:val="1"/>
      <w:numFmt w:val="lowerLetter"/>
      <w:lvlText w:val="%8."/>
      <w:lvlJc w:val="left"/>
      <w:pPr>
        <w:tabs>
          <w:tab w:val="num" w:pos="0"/>
        </w:tabs>
        <w:ind w:left="5872" w:hanging="360"/>
      </w:pPr>
    </w:lvl>
    <w:lvl w:ilvl="8">
      <w:start w:val="1"/>
      <w:numFmt w:val="lowerRoman"/>
      <w:lvlText w:val="%9."/>
      <w:lvlJc w:val="right"/>
      <w:pPr>
        <w:tabs>
          <w:tab w:val="num" w:pos="0"/>
        </w:tabs>
        <w:ind w:left="6592" w:hanging="180"/>
      </w:pPr>
    </w:lvl>
  </w:abstractNum>
  <w:abstractNum w:abstractNumId="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10">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11">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2">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3">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4">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5">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6">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7">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8">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19">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0">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21">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2">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3">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4">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25">
    <w:lvl w:ilvl="0">
      <w:start w:val="1"/>
      <w:numFmt w:val="lowerLetter"/>
      <w:lvlText w:val="%1."/>
      <w:lvlJc w:val="left"/>
      <w:pPr>
        <w:tabs>
          <w:tab w:val="num" w:pos="944"/>
        </w:tabs>
        <w:ind w:left="2484" w:hanging="360"/>
      </w:pPr>
    </w:lvl>
    <w:lvl w:ilvl="1">
      <w:start w:val="1"/>
      <w:numFmt w:val="bullet"/>
      <w:lvlText w:val="o"/>
      <w:lvlJc w:val="left"/>
      <w:pPr>
        <w:tabs>
          <w:tab w:val="num" w:pos="944"/>
        </w:tabs>
        <w:ind w:left="3204" w:hanging="360"/>
      </w:pPr>
      <w:rPr>
        <w:rFonts w:ascii="Courier New" w:hAnsi="Courier New" w:cs="Courier New" w:hint="default"/>
      </w:rPr>
    </w:lvl>
    <w:lvl w:ilvl="2">
      <w:start w:val="1"/>
      <w:numFmt w:val="bullet"/>
      <w:lvlText w:val=""/>
      <w:lvlJc w:val="left"/>
      <w:pPr>
        <w:tabs>
          <w:tab w:val="num" w:pos="944"/>
        </w:tabs>
        <w:ind w:left="3924" w:hanging="360"/>
      </w:pPr>
      <w:rPr>
        <w:rFonts w:ascii="Wingdings" w:hAnsi="Wingdings" w:cs="Wingdings" w:hint="default"/>
      </w:rPr>
    </w:lvl>
    <w:lvl w:ilvl="3">
      <w:start w:val="1"/>
      <w:numFmt w:val="bullet"/>
      <w:lvlText w:val=""/>
      <w:lvlJc w:val="left"/>
      <w:pPr>
        <w:tabs>
          <w:tab w:val="num" w:pos="944"/>
        </w:tabs>
        <w:ind w:left="4644" w:hanging="360"/>
      </w:pPr>
      <w:rPr>
        <w:rFonts w:ascii="Symbol" w:hAnsi="Symbol" w:cs="Symbol" w:hint="default"/>
      </w:rPr>
    </w:lvl>
    <w:lvl w:ilvl="4">
      <w:start w:val="1"/>
      <w:numFmt w:val="bullet"/>
      <w:lvlText w:val="o"/>
      <w:lvlJc w:val="left"/>
      <w:pPr>
        <w:tabs>
          <w:tab w:val="num" w:pos="944"/>
        </w:tabs>
        <w:ind w:left="5364" w:hanging="360"/>
      </w:pPr>
      <w:rPr>
        <w:rFonts w:ascii="Courier New" w:hAnsi="Courier New" w:cs="Courier New" w:hint="default"/>
      </w:rPr>
    </w:lvl>
    <w:lvl w:ilvl="5">
      <w:start w:val="1"/>
      <w:numFmt w:val="bullet"/>
      <w:lvlText w:val=""/>
      <w:lvlJc w:val="left"/>
      <w:pPr>
        <w:tabs>
          <w:tab w:val="num" w:pos="944"/>
        </w:tabs>
        <w:ind w:left="6084" w:hanging="360"/>
      </w:pPr>
      <w:rPr>
        <w:rFonts w:ascii="Wingdings" w:hAnsi="Wingdings" w:cs="Wingdings" w:hint="default"/>
      </w:rPr>
    </w:lvl>
    <w:lvl w:ilvl="6">
      <w:start w:val="1"/>
      <w:numFmt w:val="bullet"/>
      <w:lvlText w:val=""/>
      <w:lvlJc w:val="left"/>
      <w:pPr>
        <w:tabs>
          <w:tab w:val="num" w:pos="944"/>
        </w:tabs>
        <w:ind w:left="6804" w:hanging="360"/>
      </w:pPr>
      <w:rPr>
        <w:rFonts w:ascii="Symbol" w:hAnsi="Symbol" w:cs="Symbol" w:hint="default"/>
      </w:rPr>
    </w:lvl>
    <w:lvl w:ilvl="7">
      <w:start w:val="1"/>
      <w:numFmt w:val="bullet"/>
      <w:lvlText w:val="o"/>
      <w:lvlJc w:val="left"/>
      <w:pPr>
        <w:tabs>
          <w:tab w:val="num" w:pos="944"/>
        </w:tabs>
        <w:ind w:left="7524" w:hanging="360"/>
      </w:pPr>
      <w:rPr>
        <w:rFonts w:ascii="Courier New" w:hAnsi="Courier New" w:cs="Courier New" w:hint="default"/>
      </w:rPr>
    </w:lvl>
    <w:lvl w:ilvl="8">
      <w:start w:val="1"/>
      <w:numFmt w:val="bullet"/>
      <w:lvlText w:val=""/>
      <w:lvlJc w:val="left"/>
      <w:pPr>
        <w:tabs>
          <w:tab w:val="num" w:pos="944"/>
        </w:tabs>
        <w:ind w:left="8244" w:hanging="360"/>
      </w:pPr>
      <w:rPr>
        <w:rFonts w:ascii="Wingdings" w:hAnsi="Wingdings" w:cs="Wingdings" w:hint="default"/>
      </w:rPr>
    </w:lvl>
  </w:abstractNum>
  <w:abstractNum w:abstractNumId="26">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7">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8">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29">
    <w:lvl w:ilvl="0">
      <w:start w:val="1"/>
      <w:numFmt w:val="upperRoman"/>
      <w:lvlText w:val="%1."/>
      <w:lvlJc w:val="right"/>
      <w:pPr>
        <w:tabs>
          <w:tab w:val="num" w:pos="0"/>
        </w:tabs>
        <w:ind w:left="1540" w:hanging="360"/>
      </w:pPr>
    </w:lvl>
    <w:lvl w:ilvl="1">
      <w:start w:val="1"/>
      <w:numFmt w:val="lowerLetter"/>
      <w:lvlText w:val="%2."/>
      <w:lvlJc w:val="left"/>
      <w:pPr>
        <w:tabs>
          <w:tab w:val="num" w:pos="0"/>
        </w:tabs>
        <w:ind w:left="2260" w:hanging="360"/>
      </w:pPr>
    </w:lvl>
    <w:lvl w:ilvl="2">
      <w:start w:val="1"/>
      <w:numFmt w:val="lowerRoman"/>
      <w:lvlText w:val="%3."/>
      <w:lvlJc w:val="right"/>
      <w:pPr>
        <w:tabs>
          <w:tab w:val="num" w:pos="0"/>
        </w:tabs>
        <w:ind w:left="2980" w:hanging="180"/>
      </w:pPr>
    </w:lvl>
    <w:lvl w:ilvl="3">
      <w:start w:val="1"/>
      <w:numFmt w:val="decimal"/>
      <w:lvlText w:val="%4."/>
      <w:lvlJc w:val="left"/>
      <w:pPr>
        <w:tabs>
          <w:tab w:val="num" w:pos="0"/>
        </w:tabs>
        <w:ind w:left="3700" w:hanging="360"/>
      </w:pPr>
    </w:lvl>
    <w:lvl w:ilvl="4">
      <w:start w:val="1"/>
      <w:numFmt w:val="lowerLetter"/>
      <w:lvlText w:val="%5."/>
      <w:lvlJc w:val="left"/>
      <w:pPr>
        <w:tabs>
          <w:tab w:val="num" w:pos="0"/>
        </w:tabs>
        <w:ind w:left="4420" w:hanging="360"/>
      </w:pPr>
    </w:lvl>
    <w:lvl w:ilvl="5">
      <w:start w:val="1"/>
      <w:numFmt w:val="lowerRoman"/>
      <w:lvlText w:val="%6."/>
      <w:lvlJc w:val="right"/>
      <w:pPr>
        <w:tabs>
          <w:tab w:val="num" w:pos="0"/>
        </w:tabs>
        <w:ind w:left="5140" w:hanging="180"/>
      </w:pPr>
    </w:lvl>
    <w:lvl w:ilvl="6">
      <w:start w:val="1"/>
      <w:numFmt w:val="decimal"/>
      <w:lvlText w:val="%7."/>
      <w:lvlJc w:val="left"/>
      <w:pPr>
        <w:tabs>
          <w:tab w:val="num" w:pos="0"/>
        </w:tabs>
        <w:ind w:left="5860" w:hanging="360"/>
      </w:pPr>
    </w:lvl>
    <w:lvl w:ilvl="7">
      <w:start w:val="1"/>
      <w:numFmt w:val="lowerLetter"/>
      <w:lvlText w:val="%8."/>
      <w:lvlJc w:val="left"/>
      <w:pPr>
        <w:tabs>
          <w:tab w:val="num" w:pos="0"/>
        </w:tabs>
        <w:ind w:left="6580" w:hanging="360"/>
      </w:pPr>
    </w:lvl>
    <w:lvl w:ilvl="8">
      <w:start w:val="1"/>
      <w:numFmt w:val="lowerRoman"/>
      <w:lvlText w:val="%9."/>
      <w:lvlJc w:val="right"/>
      <w:pPr>
        <w:tabs>
          <w:tab w:val="num" w:pos="0"/>
        </w:tabs>
        <w:ind w:left="7300" w:hanging="180"/>
      </w:pPr>
    </w:lvl>
  </w:abstractNum>
  <w:abstractNum w:abstractNumId="3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9"/>
    <w:lvlOverride w:ilvl="0">
      <w:startOverride w:val="1"/>
    </w:lvlOverride>
  </w:num>
  <w:num w:numId="32">
    <w:abstractNumId w:val="9"/>
  </w:num>
  <w:num w:numId="33">
    <w:abstractNumId w:val="11"/>
    <w:lvlOverride w:ilvl="0">
      <w:startOverride w:val="1"/>
    </w:lvlOverride>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9"/>
  </w:num>
  <w:num w:numId="42">
    <w:abstractNumId w:val="20"/>
    <w:lvlOverride w:ilvl="0">
      <w:startOverride w:val="1"/>
    </w:lvlOverride>
  </w:num>
  <w:num w:numId="43">
    <w:abstractNumId w:val="9"/>
  </w:num>
  <w:num w:numId="44">
    <w:abstractNumId w:val="9"/>
  </w:num>
  <w:num w:numId="45">
    <w:abstractNumId w:val="9"/>
  </w:num>
  <w:num w:numId="46">
    <w:abstractNumId w:val="24"/>
    <w:lvlOverride w:ilvl="0">
      <w:startOverride w:val="1"/>
    </w:lvlOverride>
  </w:num>
  <w:num w:numId="47">
    <w:abstractNumId w:val="24"/>
  </w:num>
  <w:num w:numId="48">
    <w:abstractNumId w:val="9"/>
  </w:num>
  <w:num w:numId="49">
    <w:abstractNumId w:val="9"/>
  </w:num>
  <w:num w:numId="50">
    <w:abstractNumId w:val="9"/>
  </w:num>
  <w:num w:numId="51">
    <w:abstractNumId w:val="9"/>
  </w:num>
</w:numbering>
</file>

<file path=word/settings.xml><?xml version="1.0" encoding="utf-8"?>
<w:settings xmlns:w="http://schemas.openxmlformats.org/wordprocessingml/2006/main">
  <w:zoom w:percent="110"/>
  <w:defaultTabStop w:val="720"/>
  <w:autoHyphenation w:val="true"/>
  <w:footnotePr>
    <w:numFmt w:val="decimal"/>
    <w:footnote w:id="0"/>
    <w:footnote w:id="1"/>
  </w:footnotePr>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ahoma"/>
        <w:sz w:val="22"/>
        <w:szCs w:val="22"/>
        <w:lang w:val="pt-BR" w:eastAsia="en-US" w:bidi="ar-SA"/>
      </w:rPr>
    </w:rPrDefault>
    <w:pPrDefault>
      <w:pPr>
        <w:suppressAutoHyphens w:val="true"/>
      </w:pPr>
    </w:pPrDefault>
  </w:docDefaults>
  <w:style w:type="paragraph" w:styleId="Normal">
    <w:name w:val="Normal"/>
    <w:qFormat/>
    <w:pPr>
      <w:widowControl/>
      <w:suppressAutoHyphens w:val="true"/>
      <w:overflowPunct w:val="true"/>
      <w:bidi w:val="0"/>
      <w:spacing w:lineRule="auto" w:line="276" w:before="0" w:after="100"/>
      <w:jc w:val="left"/>
    </w:pPr>
    <w:rPr>
      <w:rFonts w:ascii="Calibri" w:hAnsi="Calibri" w:eastAsia="Calibri" w:cs="Tahoma"/>
      <w:color w:val="auto"/>
      <w:kern w:val="0"/>
      <w:sz w:val="22"/>
      <w:szCs w:val="22"/>
      <w:lang w:val="pt-BR" w:eastAsia="en-US" w:bidi="ar-SA"/>
    </w:rPr>
  </w:style>
  <w:style w:type="paragraph" w:styleId="Ttulo1">
    <w:name w:val="Heading 1"/>
    <w:basedOn w:val="Normal"/>
    <w:next w:val="Normal"/>
    <w:qFormat/>
    <w:pPr>
      <w:keepNext w:val="true"/>
      <w:keepLines/>
      <w:spacing w:before="480" w:after="0"/>
      <w:outlineLvl w:val="0"/>
    </w:pPr>
    <w:rPr>
      <w:rFonts w:ascii="Cambria" w:hAnsi="Cambria" w:eastAsia="Calibri" w:cs="Tahoma"/>
      <w:b/>
      <w:bCs/>
      <w:color w:val="365F91"/>
      <w:sz w:val="28"/>
      <w:szCs w:val="28"/>
    </w:rPr>
  </w:style>
  <w:style w:type="paragraph" w:styleId="Ttulo2">
    <w:name w:val="Heading 2"/>
    <w:basedOn w:val="Normal"/>
    <w:next w:val="Normal"/>
    <w:autoRedefine/>
    <w:qFormat/>
    <w:pPr>
      <w:keepNext w:val="true"/>
      <w:tabs>
        <w:tab w:val="clear" w:pos="720"/>
        <w:tab w:val="left" w:pos="1143" w:leader="none"/>
      </w:tabs>
      <w:spacing w:lineRule="auto" w:line="360" w:before="0" w:after="240"/>
      <w:ind w:left="1143" w:right="0" w:hanging="576"/>
      <w:jc w:val="both"/>
      <w:outlineLvl w:val="1"/>
    </w:pPr>
    <w:rPr>
      <w:rFonts w:ascii="Arial" w:hAnsi="Arial" w:eastAsia="Times New Roman" w:cs="Arial"/>
      <w:b/>
      <w:bCs/>
      <w:iCs/>
      <w:sz w:val="24"/>
      <w:lang w:eastAsia="pt-BR"/>
    </w:rPr>
  </w:style>
  <w:style w:type="paragraph" w:styleId="Ttulo3">
    <w:name w:val="Heading 3"/>
    <w:basedOn w:val="Normal"/>
    <w:next w:val="Normal"/>
    <w:qFormat/>
    <w:pPr>
      <w:keepNext w:val="true"/>
      <w:tabs>
        <w:tab w:val="clear" w:pos="720"/>
        <w:tab w:val="left" w:pos="1287" w:leader="none"/>
      </w:tabs>
      <w:spacing w:lineRule="auto" w:line="360" w:before="240" w:after="60"/>
      <w:ind w:left="1287" w:right="0" w:hanging="720"/>
      <w:jc w:val="both"/>
      <w:outlineLvl w:val="2"/>
    </w:pPr>
    <w:rPr>
      <w:rFonts w:ascii="Arial" w:hAnsi="Arial" w:eastAsia="Times New Roman" w:cs="Arial"/>
      <w:b/>
      <w:bCs/>
      <w:sz w:val="24"/>
      <w:szCs w:val="26"/>
      <w:lang w:eastAsia="pt-BR"/>
    </w:rPr>
  </w:style>
  <w:style w:type="paragraph" w:styleId="Ttulo4">
    <w:name w:val="Heading 4"/>
    <w:basedOn w:val="Normal"/>
    <w:next w:val="Normal"/>
    <w:qFormat/>
    <w:pPr>
      <w:keepNext w:val="true"/>
      <w:tabs>
        <w:tab w:val="clear" w:pos="720"/>
        <w:tab w:val="left" w:pos="1431" w:leader="none"/>
      </w:tabs>
      <w:spacing w:lineRule="auto" w:line="360" w:before="240" w:after="60"/>
      <w:ind w:left="1431" w:right="0" w:hanging="864"/>
      <w:jc w:val="both"/>
      <w:outlineLvl w:val="3"/>
    </w:pPr>
    <w:rPr>
      <w:rFonts w:ascii="Arial" w:hAnsi="Arial" w:eastAsia="Times New Roman" w:cs="Arial"/>
      <w:b/>
      <w:bCs/>
      <w:sz w:val="24"/>
      <w:szCs w:val="24"/>
      <w:lang w:eastAsia="pt-BR"/>
    </w:rPr>
  </w:style>
  <w:style w:type="paragraph" w:styleId="Ttulo5">
    <w:name w:val="Heading 5"/>
    <w:basedOn w:val="Normal"/>
    <w:next w:val="Normal"/>
    <w:qFormat/>
    <w:pPr>
      <w:tabs>
        <w:tab w:val="clear" w:pos="720"/>
        <w:tab w:val="left" w:pos="1575" w:leader="none"/>
      </w:tabs>
      <w:spacing w:lineRule="auto" w:line="360" w:before="240" w:after="60"/>
      <w:ind w:left="1575" w:right="0" w:hanging="1008"/>
      <w:jc w:val="both"/>
      <w:outlineLvl w:val="4"/>
    </w:pPr>
    <w:rPr>
      <w:rFonts w:ascii="Arial" w:hAnsi="Arial" w:eastAsia="Times New Roman" w:cs="Times New Roman"/>
      <w:b/>
      <w:bCs/>
      <w:i/>
      <w:iCs/>
      <w:sz w:val="26"/>
      <w:szCs w:val="26"/>
      <w:lang w:eastAsia="pt-BR"/>
    </w:rPr>
  </w:style>
  <w:style w:type="paragraph" w:styleId="Ttulo6">
    <w:name w:val="Heading 6"/>
    <w:basedOn w:val="Normal"/>
    <w:next w:val="Normal"/>
    <w:qFormat/>
    <w:pPr>
      <w:tabs>
        <w:tab w:val="clear" w:pos="720"/>
        <w:tab w:val="left" w:pos="1719" w:leader="none"/>
      </w:tabs>
      <w:spacing w:lineRule="auto" w:line="360" w:before="240" w:after="60"/>
      <w:ind w:left="1719" w:right="0" w:hanging="1152"/>
      <w:jc w:val="both"/>
      <w:outlineLvl w:val="5"/>
    </w:pPr>
    <w:rPr>
      <w:rFonts w:ascii="Times New Roman" w:hAnsi="Times New Roman" w:eastAsia="Times New Roman" w:cs="Times New Roman"/>
      <w:b/>
      <w:bCs/>
      <w:lang w:eastAsia="pt-BR"/>
    </w:rPr>
  </w:style>
  <w:style w:type="paragraph" w:styleId="Ttulo7">
    <w:name w:val="Heading 7"/>
    <w:basedOn w:val="Normal"/>
    <w:next w:val="Normal"/>
    <w:qFormat/>
    <w:pPr>
      <w:tabs>
        <w:tab w:val="clear" w:pos="720"/>
        <w:tab w:val="left" w:pos="1863" w:leader="none"/>
      </w:tabs>
      <w:spacing w:lineRule="auto" w:line="360" w:before="240" w:after="60"/>
      <w:ind w:left="1863" w:right="0" w:hanging="1296"/>
      <w:jc w:val="both"/>
      <w:outlineLvl w:val="6"/>
    </w:pPr>
    <w:rPr>
      <w:rFonts w:ascii="Times New Roman" w:hAnsi="Times New Roman" w:eastAsia="Times New Roman" w:cs="Times New Roman"/>
      <w:sz w:val="24"/>
      <w:szCs w:val="24"/>
      <w:lang w:eastAsia="pt-BR"/>
    </w:rPr>
  </w:style>
  <w:style w:type="paragraph" w:styleId="Ttulo8">
    <w:name w:val="Heading 8"/>
    <w:basedOn w:val="Normal"/>
    <w:next w:val="Normal"/>
    <w:qFormat/>
    <w:pPr>
      <w:tabs>
        <w:tab w:val="clear" w:pos="720"/>
        <w:tab w:val="left" w:pos="2007" w:leader="none"/>
      </w:tabs>
      <w:spacing w:lineRule="auto" w:line="360" w:before="240" w:after="60"/>
      <w:ind w:left="2007" w:right="0" w:hanging="1440"/>
      <w:jc w:val="both"/>
      <w:outlineLvl w:val="7"/>
    </w:pPr>
    <w:rPr>
      <w:rFonts w:ascii="Times New Roman" w:hAnsi="Times New Roman" w:eastAsia="Times New Roman" w:cs="Times New Roman"/>
      <w:i/>
      <w:iCs/>
      <w:sz w:val="24"/>
      <w:szCs w:val="24"/>
      <w:lang w:eastAsia="pt-BR"/>
    </w:rPr>
  </w:style>
  <w:style w:type="paragraph" w:styleId="Ttulo9">
    <w:name w:val="Heading 9"/>
    <w:basedOn w:val="Normal"/>
    <w:next w:val="Normal"/>
    <w:qFormat/>
    <w:pPr>
      <w:tabs>
        <w:tab w:val="clear" w:pos="720"/>
        <w:tab w:val="left" w:pos="2151" w:leader="none"/>
      </w:tabs>
      <w:spacing w:lineRule="auto" w:line="360" w:before="240" w:after="60"/>
      <w:ind w:left="2151" w:right="0" w:hanging="1584"/>
      <w:jc w:val="both"/>
      <w:outlineLvl w:val="8"/>
    </w:pPr>
    <w:rPr>
      <w:rFonts w:ascii="Arial" w:hAnsi="Arial" w:eastAsia="Times New Roman" w:cs="Arial"/>
      <w:lang w:eastAsia="pt-BR"/>
    </w:rPr>
  </w:style>
  <w:style w:type="character" w:styleId="DefaultParagraphFont">
    <w:name w:val="Default Paragraph Font"/>
    <w:qFormat/>
    <w:rPr/>
  </w:style>
  <w:style w:type="character" w:styleId="Ttulo1Char">
    <w:name w:val="Título 1 Char"/>
    <w:basedOn w:val="DefaultParagraphFont"/>
    <w:qFormat/>
    <w:rPr>
      <w:rFonts w:ascii="Cambria" w:hAnsi="Cambria" w:eastAsia="Calibri" w:cs="Tahoma"/>
      <w:b/>
      <w:bCs/>
      <w:color w:val="365F91"/>
      <w:sz w:val="28"/>
      <w:szCs w:val="28"/>
    </w:rPr>
  </w:style>
  <w:style w:type="character" w:styleId="CabealhoChar">
    <w:name w:val="Cabeçalho Char"/>
    <w:basedOn w:val="DefaultParagraphFont"/>
    <w:qFormat/>
    <w:rPr/>
  </w:style>
  <w:style w:type="character" w:styleId="RodapChar">
    <w:name w:val="Rodapé Char"/>
    <w:basedOn w:val="DefaultParagraphFont"/>
    <w:qFormat/>
    <w:rPr/>
  </w:style>
  <w:style w:type="character" w:styleId="TextodebaloChar">
    <w:name w:val="Texto de balão Char"/>
    <w:basedOn w:val="DefaultParagraphFont"/>
    <w:qFormat/>
    <w:rPr>
      <w:rFonts w:ascii="Tahoma" w:hAnsi="Tahoma" w:cs="Tahoma"/>
      <w:sz w:val="16"/>
      <w:szCs w:val="16"/>
    </w:rPr>
  </w:style>
  <w:style w:type="character" w:styleId="StandardChar">
    <w:name w:val="Standard Char"/>
    <w:qFormat/>
    <w:rPr>
      <w:rFonts w:ascii="Arial" w:hAnsi="Arial" w:eastAsia="SimSun" w:cs="Arial"/>
      <w:kern w:val="2"/>
      <w:szCs w:val="20"/>
      <w:lang w:eastAsia="zh-CN" w:bidi="hi-IN"/>
    </w:rPr>
  </w:style>
  <w:style w:type="character" w:styleId="TtuloChar">
    <w:name w:val="Título Char"/>
    <w:basedOn w:val="DefaultParagraphFont"/>
    <w:qFormat/>
    <w:rPr>
      <w:rFonts w:ascii="Cambria" w:hAnsi="Cambria" w:eastAsia="Calibri" w:cs="Tahoma"/>
      <w:color w:val="17365D"/>
      <w:spacing w:val="5"/>
      <w:kern w:val="2"/>
      <w:sz w:val="52"/>
      <w:szCs w:val="52"/>
    </w:rPr>
  </w:style>
  <w:style w:type="character" w:styleId="SubttuloChar">
    <w:name w:val="Subtítulo Char"/>
    <w:basedOn w:val="DefaultParagraphFont"/>
    <w:qFormat/>
    <w:rPr>
      <w:rFonts w:ascii="Arial" w:hAnsi="Arial" w:eastAsia="Microsoft YaHei" w:cs="Arial"/>
      <w:b/>
      <w:iCs/>
      <w:kern w:val="2"/>
      <w:sz w:val="28"/>
      <w:szCs w:val="28"/>
      <w:lang w:eastAsia="zh-CN" w:bidi="hi-IN"/>
    </w:rPr>
  </w:style>
  <w:style w:type="character" w:styleId="Normaltextrun">
    <w:name w:val="normaltextrun"/>
    <w:basedOn w:val="DefaultParagraphFont"/>
    <w:qFormat/>
    <w:rPr/>
  </w:style>
  <w:style w:type="character" w:styleId="Eop">
    <w:name w:val="eop"/>
    <w:basedOn w:val="DefaultParagraphFont"/>
    <w:qFormat/>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sz w:val="20"/>
      <w:szCs w:val="20"/>
    </w:rPr>
  </w:style>
  <w:style w:type="character" w:styleId="AssuntodocomentrioChar">
    <w:name w:val="Assunto do comentário Char"/>
    <w:basedOn w:val="TextodecomentrioChar"/>
    <w:qFormat/>
    <w:rPr>
      <w:b/>
      <w:bCs/>
      <w:sz w:val="20"/>
      <w:szCs w:val="20"/>
    </w:rPr>
  </w:style>
  <w:style w:type="character" w:styleId="CorpodetextoChar">
    <w:name w:val="Corpo de texto Char"/>
    <w:basedOn w:val="DefaultParagraphFont"/>
    <w:qFormat/>
    <w:rPr>
      <w:rFonts w:ascii="Arial MT" w:hAnsi="Arial MT" w:eastAsia="Arial MT" w:cs="Arial MT"/>
      <w:sz w:val="24"/>
      <w:szCs w:val="24"/>
      <w:lang w:val="pt-PT"/>
    </w:rPr>
  </w:style>
  <w:style w:type="character" w:styleId="LinkdaInternet">
    <w:name w:val="Link da Internet"/>
    <w:basedOn w:val="DefaultParagraphFont"/>
    <w:rPr>
      <w:color w:val="0000FF"/>
      <w:u w:val="single"/>
    </w:rPr>
  </w:style>
  <w:style w:type="character" w:styleId="TextodenotaderodapChar">
    <w:name w:val="Texto de nota de rodapé Char"/>
    <w:basedOn w:val="DefaultParagraphFont"/>
    <w:qFormat/>
    <w:rPr>
      <w:sz w:val="20"/>
      <w:szCs w:val="20"/>
    </w:rPr>
  </w:style>
  <w:style w:type="character" w:styleId="Caracteresdenotaderodap">
    <w:name w:val="Caracteres de nota de rodapé"/>
    <w:qFormat/>
    <w:rPr>
      <w:vertAlign w:val="superscript"/>
    </w:rPr>
  </w:style>
  <w:style w:type="character" w:styleId="Ncoradanotaderodap">
    <w:name w:val="Âncora da nota de rodapé"/>
    <w:rPr>
      <w:vertAlign w:val="superscript"/>
    </w:rPr>
  </w:style>
  <w:style w:type="character" w:styleId="FootnoteCharacters">
    <w:name w:val="Footnote Characters"/>
    <w:basedOn w:val="DefaultParagraphFont"/>
    <w:qFormat/>
    <w:rPr>
      <w:vertAlign w:val="superscript"/>
    </w:rPr>
  </w:style>
  <w:style w:type="character" w:styleId="A">
    <w:name w:val="a"/>
    <w:basedOn w:val="DefaultParagraphFont"/>
    <w:qFormat/>
    <w:rPr/>
  </w:style>
  <w:style w:type="character" w:styleId="L9">
    <w:name w:val="l9"/>
    <w:basedOn w:val="DefaultParagraphFont"/>
    <w:qFormat/>
    <w:rPr/>
  </w:style>
  <w:style w:type="character" w:styleId="L10">
    <w:name w:val="l10"/>
    <w:basedOn w:val="DefaultParagraphFont"/>
    <w:qFormat/>
    <w:rPr/>
  </w:style>
  <w:style w:type="character" w:styleId="L6">
    <w:name w:val="l6"/>
    <w:basedOn w:val="DefaultParagraphFont"/>
    <w:qFormat/>
    <w:rPr/>
  </w:style>
  <w:style w:type="character" w:styleId="L7">
    <w:name w:val="l7"/>
    <w:basedOn w:val="DefaultParagraphFont"/>
    <w:qFormat/>
    <w:rPr/>
  </w:style>
  <w:style w:type="character" w:styleId="L8">
    <w:name w:val="l8"/>
    <w:basedOn w:val="DefaultParagraphFont"/>
    <w:qFormat/>
    <w:rPr/>
  </w:style>
  <w:style w:type="character" w:styleId="L11">
    <w:name w:val="l11"/>
    <w:basedOn w:val="DefaultParagraphFont"/>
    <w:qFormat/>
    <w:rPr/>
  </w:style>
  <w:style w:type="character" w:styleId="L12">
    <w:name w:val="l12"/>
    <w:basedOn w:val="DefaultParagraphFont"/>
    <w:qFormat/>
    <w:rPr/>
  </w:style>
  <w:style w:type="character" w:styleId="PargrafodaListaChar">
    <w:name w:val="Parágrafo da Lista Char"/>
    <w:basedOn w:val="DefaultParagraphFont"/>
    <w:qFormat/>
    <w:rPr/>
  </w:style>
  <w:style w:type="character" w:styleId="Estilo1Char">
    <w:name w:val="Estilo1 Char"/>
    <w:basedOn w:val="PargrafodaListaChar"/>
    <w:qFormat/>
    <w:rPr>
      <w:rFonts w:ascii="Arial" w:hAnsi="Arial" w:eastAsia="Times New Roman" w:cs="Arial"/>
      <w:lang w:eastAsia="pt-BR"/>
    </w:rPr>
  </w:style>
  <w:style w:type="character" w:styleId="Ttulo2Char">
    <w:name w:val="Título 2 Char"/>
    <w:basedOn w:val="DefaultParagraphFont"/>
    <w:qFormat/>
    <w:rPr>
      <w:rFonts w:ascii="Arial" w:hAnsi="Arial" w:eastAsia="Times New Roman" w:cs="Arial"/>
      <w:b/>
      <w:bCs/>
      <w:iCs/>
      <w:sz w:val="24"/>
      <w:lang w:eastAsia="pt-BR"/>
    </w:rPr>
  </w:style>
  <w:style w:type="character" w:styleId="Ttulo3Char">
    <w:name w:val="Título 3 Char"/>
    <w:basedOn w:val="DefaultParagraphFont"/>
    <w:qFormat/>
    <w:rPr>
      <w:rFonts w:ascii="Arial" w:hAnsi="Arial" w:eastAsia="Times New Roman" w:cs="Arial"/>
      <w:b/>
      <w:bCs/>
      <w:sz w:val="24"/>
      <w:szCs w:val="26"/>
      <w:lang w:eastAsia="pt-BR"/>
    </w:rPr>
  </w:style>
  <w:style w:type="character" w:styleId="Ttulo4Char">
    <w:name w:val="Título 4 Char"/>
    <w:basedOn w:val="DefaultParagraphFont"/>
    <w:qFormat/>
    <w:rPr>
      <w:rFonts w:ascii="Arial" w:hAnsi="Arial" w:eastAsia="Times New Roman" w:cs="Arial"/>
      <w:b/>
      <w:bCs/>
      <w:sz w:val="24"/>
      <w:szCs w:val="24"/>
      <w:lang w:eastAsia="pt-BR"/>
    </w:rPr>
  </w:style>
  <w:style w:type="character" w:styleId="Ttulo5Char">
    <w:name w:val="Título 5 Char"/>
    <w:basedOn w:val="DefaultParagraphFont"/>
    <w:qFormat/>
    <w:rPr>
      <w:rFonts w:ascii="Arial" w:hAnsi="Arial" w:eastAsia="Times New Roman" w:cs="Times New Roman"/>
      <w:b/>
      <w:bCs/>
      <w:i/>
      <w:iCs/>
      <w:sz w:val="26"/>
      <w:szCs w:val="26"/>
      <w:lang w:eastAsia="pt-BR"/>
    </w:rPr>
  </w:style>
  <w:style w:type="character" w:styleId="Ttulo6Char">
    <w:name w:val="Título 6 Char"/>
    <w:basedOn w:val="DefaultParagraphFont"/>
    <w:qFormat/>
    <w:rPr>
      <w:rFonts w:ascii="Times New Roman" w:hAnsi="Times New Roman" w:eastAsia="Times New Roman" w:cs="Times New Roman"/>
      <w:b/>
      <w:bCs/>
      <w:lang w:eastAsia="pt-BR"/>
    </w:rPr>
  </w:style>
  <w:style w:type="character" w:styleId="Ttulo7Char">
    <w:name w:val="Título 7 Char"/>
    <w:basedOn w:val="DefaultParagraphFont"/>
    <w:qFormat/>
    <w:rPr>
      <w:rFonts w:ascii="Times New Roman" w:hAnsi="Times New Roman" w:eastAsia="Times New Roman" w:cs="Times New Roman"/>
      <w:sz w:val="24"/>
      <w:szCs w:val="24"/>
      <w:lang w:eastAsia="pt-BR"/>
    </w:rPr>
  </w:style>
  <w:style w:type="character" w:styleId="Ttulo8Char">
    <w:name w:val="Título 8 Char"/>
    <w:basedOn w:val="DefaultParagraphFont"/>
    <w:qFormat/>
    <w:rPr>
      <w:rFonts w:ascii="Times New Roman" w:hAnsi="Times New Roman" w:eastAsia="Times New Roman" w:cs="Times New Roman"/>
      <w:i/>
      <w:iCs/>
      <w:sz w:val="24"/>
      <w:szCs w:val="24"/>
      <w:lang w:eastAsia="pt-BR"/>
    </w:rPr>
  </w:style>
  <w:style w:type="character" w:styleId="Ttulo9Char">
    <w:name w:val="Título 9 Char"/>
    <w:basedOn w:val="DefaultParagraphFont"/>
    <w:qFormat/>
    <w:rPr>
      <w:rFonts w:ascii="Arial" w:hAnsi="Arial" w:eastAsia="Times New Roman" w:cs="Arial"/>
      <w:lang w:eastAsia="pt-BR"/>
    </w:rPr>
  </w:style>
  <w:style w:type="character" w:styleId="Estilo2Char">
    <w:name w:val="Estilo2 Char"/>
    <w:basedOn w:val="Estilo1Char"/>
    <w:qFormat/>
    <w:rPr>
      <w:rFonts w:ascii="Arial" w:hAnsi="Arial" w:eastAsia="Times New Roman" w:cs="Arial"/>
      <w:lang w:eastAsia="pt-BR"/>
    </w:rPr>
  </w:style>
  <w:style w:type="character" w:styleId="RecuodecorpodetextoChar">
    <w:name w:val="Recuo de corpo de texto Char"/>
    <w:basedOn w:val="DefaultParagraphFont"/>
    <w:qFormat/>
    <w:rPr/>
  </w:style>
  <w:style w:type="character" w:styleId="Corpodetexto2Char">
    <w:name w:val="Corpo de texto 2 Char"/>
    <w:basedOn w:val="DefaultParagraphFont"/>
    <w:qFormat/>
    <w:rPr/>
  </w:style>
  <w:style w:type="character" w:styleId="Recuodecorpodetexto2Char">
    <w:name w:val="Recuo de corpo de texto 2 Char"/>
    <w:basedOn w:val="DefaultParagraphFont"/>
    <w:qFormat/>
    <w:rPr>
      <w:rFonts w:ascii="Times New Roman" w:hAnsi="Times New Roman" w:eastAsia="Times New Roman" w:cs="Times New Roman"/>
      <w:szCs w:val="20"/>
      <w:lang w:eastAsia="pt-BR"/>
    </w:rPr>
  </w:style>
  <w:style w:type="character" w:styleId="Vnculodendice">
    <w:name w:val="Vínculo de índice"/>
    <w:qFormat/>
    <w:rPr/>
  </w:style>
  <w:style w:type="character" w:styleId="Caracteresdenotadefim">
    <w:name w:val="Caracteres de nota de fim"/>
    <w:qFormat/>
    <w:rPr>
      <w:vertAlign w:val="superscript"/>
    </w:rPr>
  </w:style>
  <w:style w:type="character" w:styleId="Ncoradanotadefim">
    <w:name w:val="Âncora da nota de fim"/>
    <w:rPr>
      <w:vertAlign w:val="superscript"/>
    </w:rPr>
  </w:style>
  <w:style w:type="character" w:styleId="EndnoteCharacters">
    <w:name w:val="Endnote Characters"/>
    <w:qFormat/>
    <w:rPr>
      <w:vertAlign w:val="superscript"/>
    </w:rPr>
  </w:style>
  <w:style w:type="character" w:styleId="MenoPendente1">
    <w:name w:val="Menção Pendente1"/>
    <w:basedOn w:val="DefaultParagraphFont"/>
    <w:qFormat/>
    <w:rPr>
      <w:color w:val="605E5C"/>
      <w:shd w:fill="E1DFDD" w:val="clear"/>
    </w:rPr>
  </w:style>
  <w:style w:type="character" w:styleId="Marcadores">
    <w:name w:val="Marcadores"/>
    <w:qFormat/>
    <w:rPr>
      <w:rFonts w:ascii="OpenSymbol" w:hAnsi="OpenSymbol" w:eastAsia="OpenSymbol" w:cs="OpenSymbol"/>
    </w:rPr>
  </w:style>
  <w:style w:type="character" w:styleId="Smbolosdenumerao">
    <w:name w:val="Símbolos de numeração"/>
    <w:qFormat/>
    <w:rPr/>
  </w:style>
  <w:style w:type="character" w:styleId="Strong">
    <w:name w:val="Strong"/>
    <w:qFormat/>
    <w:rPr>
      <w:b/>
      <w:bCs/>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Arial Unicode MS"/>
      <w:sz w:val="28"/>
      <w:szCs w:val="28"/>
    </w:rPr>
  </w:style>
  <w:style w:type="paragraph" w:styleId="Corpodotexto">
    <w:name w:val="Body Text"/>
    <w:basedOn w:val="Normal"/>
    <w:pPr>
      <w:widowControl w:val="false"/>
      <w:spacing w:lineRule="auto" w:line="360" w:before="0" w:after="69"/>
      <w:ind w:left="113" w:right="113" w:firstLine="29"/>
      <w:jc w:val="both"/>
    </w:pPr>
    <w:rPr>
      <w:rFonts w:ascii="Arial" w:hAnsi="Arial" w:eastAsia="Arial Unicode MS" w:cs="Arial"/>
      <w:lang w:val="pt-PT"/>
    </w:rPr>
  </w:style>
  <w:style w:type="paragraph" w:styleId="Lista">
    <w:name w:val="List"/>
    <w:basedOn w:val="Corpodotexto"/>
    <w:pPr/>
    <w:rPr/>
  </w:style>
  <w:style w:type="paragraph" w:styleId="Legenda">
    <w:name w:val="Caption"/>
    <w:basedOn w:val="Normal"/>
    <w:qFormat/>
    <w:pPr>
      <w:suppressLineNumbers/>
      <w:spacing w:before="120" w:after="120"/>
    </w:pPr>
    <w:rPr>
      <w:rFonts w:cs="Arial Unicode MS"/>
      <w:i/>
      <w:iCs/>
      <w:sz w:val="24"/>
      <w:szCs w:val="24"/>
    </w:rPr>
  </w:style>
  <w:style w:type="paragraph" w:styleId="Ndice">
    <w:name w:val="Índice"/>
    <w:basedOn w:val="Normal"/>
    <w:qFormat/>
    <w:pPr>
      <w:suppressLineNumbers/>
      <w:spacing w:lineRule="auto" w:line="240" w:before="0" w:after="0"/>
    </w:pPr>
    <w:rPr>
      <w:rFonts w:ascii="Times New Roman" w:hAnsi="Times New Roman" w:eastAsia="Times New Roman" w:cs="Times New Roman"/>
      <w:sz w:val="20"/>
      <w:szCs w:val="20"/>
      <w:lang w:eastAsia="ar-SA"/>
    </w:rPr>
  </w:style>
  <w:style w:type="paragraph" w:styleId="Ttulododocumento">
    <w:name w:val="Title"/>
    <w:basedOn w:val="Normal"/>
    <w:next w:val="Corpodotexto"/>
    <w:qFormat/>
    <w:pPr>
      <w:pBdr>
        <w:bottom w:val="single" w:sz="8" w:space="4" w:color="4F81BD"/>
      </w:pBdr>
      <w:spacing w:lineRule="auto" w:line="240" w:before="0" w:after="300"/>
      <w:contextualSpacing/>
    </w:pPr>
    <w:rPr>
      <w:rFonts w:ascii="Cambria" w:hAnsi="Cambria" w:eastAsia="Calibri" w:cs="Tahoma"/>
      <w:color w:val="17365D"/>
      <w:spacing w:val="5"/>
      <w:kern w:val="2"/>
      <w:sz w:val="52"/>
      <w:szCs w:val="52"/>
    </w:rPr>
  </w:style>
  <w:style w:type="paragraph" w:styleId="Caption">
    <w:name w:val="caption"/>
    <w:basedOn w:val="Normal"/>
    <w:next w:val="Normal"/>
    <w:qFormat/>
    <w:pPr>
      <w:spacing w:lineRule="auto" w:line="240" w:before="0" w:after="200"/>
    </w:pPr>
    <w:rPr>
      <w:b/>
      <w:bCs/>
      <w:color w:val="4F81BD"/>
      <w:sz w:val="18"/>
      <w:szCs w:val="18"/>
    </w:rPr>
  </w:style>
  <w:style w:type="paragraph" w:styleId="CabealhoeRodap">
    <w:name w:val="Cabeçalho e Rodapé"/>
    <w:basedOn w:val="Normal"/>
    <w:qFormat/>
    <w:pPr/>
    <w:rPr/>
  </w:style>
  <w:style w:type="paragraph" w:styleId="Cabealho">
    <w:name w:val="Header"/>
    <w:basedOn w:val="Normal"/>
    <w:pPr>
      <w:tabs>
        <w:tab w:val="clear" w:pos="720"/>
        <w:tab w:val="center" w:pos="4252" w:leader="none"/>
        <w:tab w:val="right" w:pos="8504" w:leader="none"/>
      </w:tabs>
      <w:spacing w:lineRule="auto" w:line="240" w:before="0" w:after="0"/>
    </w:pPr>
    <w:rPr/>
  </w:style>
  <w:style w:type="paragraph" w:styleId="Rodap">
    <w:name w:val="Footer"/>
    <w:basedOn w:val="Normal"/>
    <w:pPr>
      <w:tabs>
        <w:tab w:val="clear" w:pos="720"/>
        <w:tab w:val="center" w:pos="4252" w:leader="none"/>
        <w:tab w:val="right" w:pos="8504" w:leader="none"/>
      </w:tabs>
      <w:spacing w:lineRule="auto" w:line="240" w:before="0" w:after="0"/>
    </w:pPr>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Standard">
    <w:name w:val="Standard"/>
    <w:qFormat/>
    <w:pPr>
      <w:widowControl w:val="false"/>
      <w:suppressAutoHyphens w:val="true"/>
      <w:overflowPunct w:val="true"/>
      <w:bidi w:val="0"/>
      <w:spacing w:before="0" w:after="0"/>
      <w:jc w:val="both"/>
      <w:textAlignment w:val="baseline"/>
    </w:pPr>
    <w:rPr>
      <w:rFonts w:ascii="Arial" w:hAnsi="Arial" w:eastAsia="SimSun" w:cs="Arial"/>
      <w:color w:val="auto"/>
      <w:kern w:val="2"/>
      <w:sz w:val="22"/>
      <w:szCs w:val="20"/>
      <w:lang w:val="pt-BR" w:eastAsia="zh-CN" w:bidi="hi-IN"/>
    </w:rPr>
  </w:style>
  <w:style w:type="paragraph" w:styleId="Subttulo">
    <w:name w:val="Subtitle"/>
    <w:basedOn w:val="Ttulododocumento"/>
    <w:next w:val="Normal"/>
    <w:qFormat/>
    <w:pPr>
      <w:keepNext w:val="true"/>
      <w:widowControl w:val="false"/>
      <w:pBdr>
        <w:bottom w:val="nil"/>
      </w:pBdr>
      <w:spacing w:lineRule="auto" w:line="360" w:before="240" w:after="0"/>
      <w:contextualSpacing/>
      <w:jc w:val="center"/>
      <w:textAlignment w:val="baseline"/>
    </w:pPr>
    <w:rPr>
      <w:rFonts w:ascii="Arial" w:hAnsi="Arial" w:eastAsia="Microsoft YaHei" w:cs="Arial"/>
      <w:b/>
      <w:iCs/>
      <w:color w:val="auto"/>
      <w:spacing w:val="0"/>
      <w:sz w:val="28"/>
      <w:szCs w:val="28"/>
      <w:lang w:eastAsia="zh-CN" w:bidi="hi-IN"/>
    </w:rPr>
  </w:style>
  <w:style w:type="paragraph" w:styleId="Paragraph">
    <w:name w:val="paragraph"/>
    <w:basedOn w:val="Normal"/>
    <w:qFormat/>
    <w:pPr>
      <w:spacing w:lineRule="auto" w:line="240" w:before="280" w:after="280"/>
    </w:pPr>
    <w:rPr>
      <w:rFonts w:ascii="Times New Roman" w:hAnsi="Times New Roman" w:eastAsia="Times New Roman" w:cs="Times New Roman"/>
      <w:sz w:val="24"/>
      <w:szCs w:val="24"/>
      <w:lang w:eastAsia="pt-BR"/>
    </w:rPr>
  </w:style>
  <w:style w:type="paragraph" w:styleId="Indexheading">
    <w:name w:val="index heading"/>
    <w:basedOn w:val="Ttulododocumento"/>
    <w:qFormat/>
    <w:pPr/>
    <w:rPr/>
  </w:style>
  <w:style w:type="paragraph" w:styleId="Ttulodondicealfabtico">
    <w:name w:val="Index Heading"/>
    <w:basedOn w:val="Ttulo"/>
    <w:pPr/>
    <w:rPr/>
  </w:style>
  <w:style w:type="paragraph" w:styleId="TOCHeading">
    <w:name w:val="TOC Heading"/>
    <w:basedOn w:val="Ttulo1"/>
    <w:next w:val="Normal"/>
    <w:qFormat/>
    <w:pPr>
      <w:outlineLvl w:val="9"/>
    </w:pPr>
    <w:rPr/>
  </w:style>
  <w:style w:type="paragraph" w:styleId="Sumrio4">
    <w:name w:val="TOC 4"/>
    <w:basedOn w:val="Normal"/>
    <w:next w:val="Normal"/>
    <w:autoRedefine/>
    <w:pPr>
      <w:ind w:left="660" w:right="0" w:hanging="0"/>
    </w:pPr>
    <w:rPr/>
  </w:style>
  <w:style w:type="paragraph" w:styleId="Ttulo11">
    <w:name w:val="Título 11"/>
    <w:basedOn w:val="Normal"/>
    <w:qFormat/>
    <w:pPr>
      <w:widowControl w:val="false"/>
      <w:spacing w:lineRule="auto" w:line="240" w:before="0" w:after="0"/>
      <w:ind w:left="904" w:right="0" w:hanging="433"/>
      <w:outlineLvl w:val="1"/>
    </w:pPr>
    <w:rPr>
      <w:rFonts w:ascii="Arial" w:hAnsi="Arial" w:eastAsia="Arial" w:cs="Arial"/>
      <w:b/>
      <w:bCs/>
      <w:sz w:val="24"/>
      <w:szCs w:val="24"/>
      <w:lang w:val="pt-PT"/>
    </w:rPr>
  </w:style>
  <w:style w:type="paragraph" w:styleId="ListParagraph">
    <w:name w:val="List Paragraph"/>
    <w:basedOn w:val="Normal"/>
    <w:qFormat/>
    <w:pPr>
      <w:spacing w:before="0" w:after="100"/>
      <w:ind w:left="720" w:right="0" w:hanging="0"/>
      <w:contextualSpacing/>
    </w:pPr>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Sumrio11">
    <w:name w:val="Sumário 11"/>
    <w:basedOn w:val="Normal"/>
    <w:qFormat/>
    <w:pPr>
      <w:widowControl w:val="false"/>
      <w:spacing w:lineRule="auto" w:line="240" w:before="20" w:after="0"/>
      <w:ind w:left="0" w:right="109" w:hanging="0"/>
      <w:jc w:val="right"/>
    </w:pPr>
    <w:rPr>
      <w:rFonts w:ascii="Arial MT" w:hAnsi="Arial MT" w:eastAsia="Arial MT" w:cs="Arial MT"/>
      <w:sz w:val="24"/>
      <w:szCs w:val="24"/>
      <w:lang w:val="pt-PT"/>
    </w:rPr>
  </w:style>
  <w:style w:type="paragraph" w:styleId="Sumrio21">
    <w:name w:val="Sumário 21"/>
    <w:basedOn w:val="Normal"/>
    <w:qFormat/>
    <w:pPr>
      <w:widowControl w:val="false"/>
      <w:spacing w:lineRule="auto" w:line="240" w:before="136" w:after="0"/>
      <w:ind w:left="592" w:right="0" w:hanging="481"/>
    </w:pPr>
    <w:rPr>
      <w:rFonts w:ascii="Arial" w:hAnsi="Arial" w:eastAsia="Arial" w:cs="Arial"/>
      <w:b/>
      <w:bCs/>
      <w:sz w:val="24"/>
      <w:szCs w:val="24"/>
      <w:lang w:val="pt-PT"/>
    </w:rPr>
  </w:style>
  <w:style w:type="paragraph" w:styleId="Sumrio31">
    <w:name w:val="Sumário 31"/>
    <w:basedOn w:val="Normal"/>
    <w:qFormat/>
    <w:pPr>
      <w:widowControl w:val="false"/>
      <w:spacing w:lineRule="auto" w:line="240" w:before="140" w:after="0"/>
      <w:ind w:left="1212" w:right="0" w:hanging="817"/>
    </w:pPr>
    <w:rPr>
      <w:rFonts w:ascii="Arial MT" w:hAnsi="Arial MT" w:eastAsia="Arial MT" w:cs="Arial MT"/>
      <w:sz w:val="24"/>
      <w:szCs w:val="24"/>
      <w:lang w:val="pt-PT"/>
    </w:rPr>
  </w:style>
  <w:style w:type="paragraph" w:styleId="Sumrio41">
    <w:name w:val="Sumário 41"/>
    <w:basedOn w:val="Normal"/>
    <w:qFormat/>
    <w:pPr>
      <w:widowControl w:val="false"/>
      <w:spacing w:lineRule="auto" w:line="240" w:before="140" w:after="0"/>
      <w:ind w:left="1653" w:right="0" w:hanging="1061"/>
    </w:pPr>
    <w:rPr>
      <w:rFonts w:ascii="Arial MT" w:hAnsi="Arial MT" w:eastAsia="Arial MT" w:cs="Arial MT"/>
      <w:sz w:val="24"/>
      <w:szCs w:val="24"/>
      <w:lang w:val="pt-PT"/>
    </w:rPr>
  </w:style>
  <w:style w:type="paragraph" w:styleId="Ttulo12">
    <w:name w:val="Título 12"/>
    <w:basedOn w:val="Normal"/>
    <w:qFormat/>
    <w:pPr>
      <w:widowControl w:val="false"/>
      <w:spacing w:lineRule="auto" w:line="240" w:before="0" w:after="0"/>
      <w:ind w:left="904" w:right="0" w:hanging="433"/>
      <w:outlineLvl w:val="1"/>
    </w:pPr>
    <w:rPr>
      <w:rFonts w:ascii="Arial" w:hAnsi="Arial" w:eastAsia="Arial" w:cs="Arial"/>
      <w:b/>
      <w:bCs/>
      <w:sz w:val="24"/>
      <w:szCs w:val="24"/>
      <w:lang w:val="pt-PT"/>
    </w:rPr>
  </w:style>
  <w:style w:type="paragraph" w:styleId="TableParagraph">
    <w:name w:val="Table Paragraph"/>
    <w:basedOn w:val="Normal"/>
    <w:qFormat/>
    <w:pPr>
      <w:widowControl w:val="false"/>
      <w:spacing w:lineRule="exact" w:line="258" w:before="0" w:after="0"/>
      <w:ind w:left="7" w:right="0" w:hanging="0"/>
    </w:pPr>
    <w:rPr>
      <w:rFonts w:ascii="Arial MT" w:hAnsi="Arial MT" w:eastAsia="Arial MT" w:cs="Arial MT"/>
      <w:lang w:val="pt-PT"/>
    </w:rPr>
  </w:style>
  <w:style w:type="paragraph" w:styleId="Sumrio2">
    <w:name w:val="TOC 2"/>
    <w:basedOn w:val="Normal"/>
    <w:next w:val="Normal"/>
    <w:autoRedefine/>
    <w:pPr>
      <w:tabs>
        <w:tab w:val="clear" w:pos="720"/>
        <w:tab w:val="left" w:pos="880" w:leader="none"/>
        <w:tab w:val="right" w:pos="9860" w:leader="dot"/>
      </w:tabs>
    </w:pPr>
    <w:rPr>
      <w:rFonts w:ascii="Arial" w:hAnsi="Arial"/>
    </w:rPr>
  </w:style>
  <w:style w:type="paragraph" w:styleId="Sumrio1">
    <w:name w:val="TOC 1"/>
    <w:basedOn w:val="Normal"/>
    <w:next w:val="Normal"/>
    <w:autoRedefine/>
    <w:pPr/>
    <w:rPr>
      <w:rFonts w:ascii="Arial" w:hAnsi="Arial" w:eastAsia="Calibri"/>
    </w:rPr>
  </w:style>
  <w:style w:type="paragraph" w:styleId="Sumrio3">
    <w:name w:val="TOC 3"/>
    <w:basedOn w:val="Normal"/>
    <w:next w:val="Normal"/>
    <w:autoRedefine/>
    <w:pPr>
      <w:ind w:left="440" w:right="0" w:hanging="0"/>
    </w:pPr>
    <w:rPr>
      <w:rFonts w:eastAsia="Calibri"/>
    </w:rPr>
  </w:style>
  <w:style w:type="paragraph" w:styleId="Sumrio5">
    <w:name w:val="TOC 5"/>
    <w:basedOn w:val="Normal"/>
    <w:next w:val="Normal"/>
    <w:autoRedefine/>
    <w:pPr>
      <w:ind w:left="880" w:right="0" w:hanging="0"/>
    </w:pPr>
    <w:rPr>
      <w:rFonts w:eastAsia="Calibri"/>
      <w:lang w:eastAsia="pt-BR"/>
    </w:rPr>
  </w:style>
  <w:style w:type="paragraph" w:styleId="Sumrio6">
    <w:name w:val="TOC 6"/>
    <w:basedOn w:val="Normal"/>
    <w:next w:val="Normal"/>
    <w:autoRedefine/>
    <w:pPr>
      <w:ind w:left="1100" w:right="0" w:hanging="0"/>
    </w:pPr>
    <w:rPr>
      <w:rFonts w:eastAsia="Calibri"/>
      <w:lang w:eastAsia="pt-BR"/>
    </w:rPr>
  </w:style>
  <w:style w:type="paragraph" w:styleId="Sumrio7">
    <w:name w:val="TOC 7"/>
    <w:basedOn w:val="Normal"/>
    <w:next w:val="Normal"/>
    <w:autoRedefine/>
    <w:pPr>
      <w:ind w:left="1320" w:right="0" w:hanging="0"/>
    </w:pPr>
    <w:rPr>
      <w:rFonts w:eastAsia="Calibri"/>
      <w:lang w:eastAsia="pt-BR"/>
    </w:rPr>
  </w:style>
  <w:style w:type="paragraph" w:styleId="Sumrio8">
    <w:name w:val="TOC 8"/>
    <w:basedOn w:val="Normal"/>
    <w:next w:val="Normal"/>
    <w:autoRedefine/>
    <w:pPr>
      <w:ind w:left="1540" w:right="0" w:hanging="0"/>
    </w:pPr>
    <w:rPr>
      <w:rFonts w:eastAsia="Calibri"/>
      <w:lang w:eastAsia="pt-BR"/>
    </w:rPr>
  </w:style>
  <w:style w:type="paragraph" w:styleId="Sumrio9">
    <w:name w:val="TOC 9"/>
    <w:basedOn w:val="Normal"/>
    <w:next w:val="Normal"/>
    <w:autoRedefine/>
    <w:pPr>
      <w:ind w:left="1760" w:right="0" w:hanging="0"/>
    </w:pPr>
    <w:rPr>
      <w:rFonts w:eastAsia="Calibri"/>
      <w:lang w:eastAsia="pt-BR"/>
    </w:rPr>
  </w:style>
  <w:style w:type="paragraph" w:styleId="Notaderodap">
    <w:name w:val="Footnote Text"/>
    <w:basedOn w:val="Normal"/>
    <w:pPr>
      <w:spacing w:lineRule="auto" w:line="240" w:before="0" w:after="0"/>
    </w:pPr>
    <w:rPr>
      <w:sz w:val="20"/>
      <w:szCs w:val="20"/>
    </w:rPr>
  </w:style>
  <w:style w:type="paragraph" w:styleId="Ttulo21">
    <w:name w:val="Título 21"/>
    <w:basedOn w:val="Normal"/>
    <w:next w:val="Normal"/>
    <w:qFormat/>
    <w:pPr>
      <w:keepNext w:val="true"/>
      <w:spacing w:lineRule="auto" w:line="240" w:before="0" w:after="0"/>
      <w:outlineLvl w:val="1"/>
    </w:pPr>
    <w:rPr>
      <w:rFonts w:ascii="Swis721 BdCnOul BT" w:hAnsi="Swis721 BdCnOul BT" w:eastAsia="Times New Roman" w:cs="Times New Roman"/>
      <w:b/>
      <w:sz w:val="28"/>
      <w:szCs w:val="24"/>
      <w:lang w:eastAsia="pt-BR"/>
    </w:rPr>
  </w:style>
  <w:style w:type="paragraph" w:styleId="Default">
    <w:name w:val="Default"/>
    <w:qFormat/>
    <w:pPr>
      <w:widowControl/>
      <w:suppressAutoHyphens w:val="true"/>
      <w:overflowPunct w:val="true"/>
      <w:bidi w:val="0"/>
      <w:spacing w:before="0" w:after="0"/>
      <w:jc w:val="left"/>
    </w:pPr>
    <w:rPr>
      <w:rFonts w:ascii="Arial" w:hAnsi="Arial" w:eastAsia="Calibri" w:cs="Arial"/>
      <w:color w:val="000000"/>
      <w:kern w:val="0"/>
      <w:sz w:val="24"/>
      <w:szCs w:val="24"/>
      <w:lang w:val="pt-BR" w:eastAsia="en-US" w:bidi="ar-SA"/>
    </w:rPr>
  </w:style>
  <w:style w:type="paragraph" w:styleId="Texto">
    <w:name w:val="Texto"/>
    <w:basedOn w:val="Normal"/>
    <w:qFormat/>
    <w:pPr>
      <w:spacing w:lineRule="auto" w:line="240" w:before="0" w:after="0"/>
      <w:jc w:val="both"/>
    </w:pPr>
    <w:rPr>
      <w:rFonts w:ascii="Arial" w:hAnsi="Arial" w:eastAsia="Times New Roman" w:cs="Arial"/>
      <w:sz w:val="24"/>
      <w:szCs w:val="24"/>
      <w:lang w:eastAsia="pt-BR"/>
    </w:rPr>
  </w:style>
  <w:style w:type="paragraph" w:styleId="Estilo1">
    <w:name w:val="Estilo1"/>
    <w:basedOn w:val="ListParagraph"/>
    <w:qFormat/>
    <w:pPr>
      <w:numPr>
        <w:ilvl w:val="0"/>
        <w:numId w:val="3"/>
      </w:numPr>
      <w:spacing w:lineRule="auto" w:line="360" w:before="0" w:after="200"/>
      <w:contextualSpacing/>
      <w:jc w:val="both"/>
    </w:pPr>
    <w:rPr>
      <w:rFonts w:ascii="Arial" w:hAnsi="Arial" w:eastAsia="Times New Roman" w:cs="Arial"/>
      <w:lang w:eastAsia="pt-BR"/>
    </w:rPr>
  </w:style>
  <w:style w:type="paragraph" w:styleId="Estilo2">
    <w:name w:val="Estilo2"/>
    <w:basedOn w:val="Estilo1"/>
    <w:qFormat/>
    <w:pPr>
      <w:numPr>
        <w:ilvl w:val="0"/>
        <w:numId w:val="0"/>
      </w:numPr>
      <w:ind w:left="720" w:right="0" w:firstLine="851"/>
    </w:pPr>
    <w:rPr/>
  </w:style>
  <w:style w:type="paragraph" w:styleId="Corpodotextorecuado">
    <w:name w:val="Body Text Indent"/>
    <w:basedOn w:val="Normal"/>
    <w:pPr>
      <w:spacing w:before="0" w:after="120"/>
      <w:ind w:left="283" w:right="0" w:hanging="0"/>
    </w:pPr>
    <w:rPr/>
  </w:style>
  <w:style w:type="paragraph" w:styleId="BodyText2">
    <w:name w:val="Body Text 2"/>
    <w:basedOn w:val="Normal"/>
    <w:qFormat/>
    <w:pPr>
      <w:spacing w:lineRule="auto" w:line="480" w:before="0" w:after="120"/>
    </w:pPr>
    <w:rPr/>
  </w:style>
  <w:style w:type="paragraph" w:styleId="BodyText21">
    <w:name w:val="Body Text 21"/>
    <w:basedOn w:val="Normal"/>
    <w:qFormat/>
    <w:pPr>
      <w:spacing w:lineRule="auto" w:line="240" w:before="0" w:after="0"/>
      <w:jc w:val="both"/>
    </w:pPr>
    <w:rPr>
      <w:rFonts w:ascii="Arial" w:hAnsi="Arial" w:eastAsia="Arial" w:cs="Arial"/>
      <w:sz w:val="20"/>
      <w:szCs w:val="20"/>
      <w:lang w:eastAsia="ar-SA"/>
    </w:rPr>
  </w:style>
  <w:style w:type="paragraph" w:styleId="NormalWeb">
    <w:name w:val="Normal (Web)"/>
    <w:basedOn w:val="Normal"/>
    <w:qFormat/>
    <w:pPr>
      <w:spacing w:lineRule="auto" w:line="240" w:before="100" w:after="0"/>
      <w:jc w:val="both"/>
    </w:pPr>
    <w:rPr>
      <w:rFonts w:ascii="Arial Unicode MS" w:hAnsi="Arial Unicode MS" w:eastAsia="Arial Unicode MS" w:cs="Arial Unicode MS"/>
      <w:sz w:val="24"/>
      <w:szCs w:val="24"/>
      <w:lang w:eastAsia="ar-SA"/>
    </w:rPr>
  </w:style>
  <w:style w:type="paragraph" w:styleId="Western">
    <w:name w:val="western"/>
    <w:basedOn w:val="Normal"/>
    <w:qFormat/>
    <w:pPr>
      <w:spacing w:lineRule="auto" w:line="240" w:before="100" w:after="0"/>
      <w:jc w:val="both"/>
    </w:pPr>
    <w:rPr>
      <w:rFonts w:ascii="Arial" w:hAnsi="Arial" w:eastAsia="Arial Unicode MS" w:cs="Arial"/>
      <w:sz w:val="24"/>
      <w:szCs w:val="24"/>
      <w:lang w:eastAsia="ar-SA"/>
    </w:rPr>
  </w:style>
  <w:style w:type="paragraph" w:styleId="BodyTextIndent2">
    <w:name w:val="Body Text Indent 2"/>
    <w:basedOn w:val="Normal"/>
    <w:qFormat/>
    <w:pPr>
      <w:spacing w:lineRule="auto" w:line="240" w:before="0" w:after="0"/>
      <w:jc w:val="both"/>
    </w:pPr>
    <w:rPr>
      <w:rFonts w:ascii="Times New Roman" w:hAnsi="Times New Roman" w:eastAsia="Times New Roman" w:cs="Times New Roman"/>
      <w:szCs w:val="20"/>
      <w:lang w:eastAsia="pt-BR"/>
    </w:rPr>
  </w:style>
  <w:style w:type="paragraph" w:styleId="Contedodoquadro">
    <w:name w:val="Conteúdo do quadro"/>
    <w:basedOn w:val="Normal"/>
    <w:qFormat/>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jc w:val="center"/>
    </w:pPr>
    <w:rPr>
      <w:b/>
      <w:bCs/>
    </w:rPr>
  </w:style>
  <w:style w:type="paragraph" w:styleId="Notadefim">
    <w:name w:val="Endnote Text"/>
    <w:basedOn w:val="Normal"/>
    <w:pPr>
      <w:suppressLineNumbers/>
      <w:ind w:left="340" w:right="0" w:hanging="340"/>
    </w:pPr>
    <w:rPr>
      <w:sz w:val="20"/>
      <w:szCs w:val="20"/>
    </w:rPr>
  </w:style>
  <w:style w:type="paragraph" w:styleId="TOAHeading">
    <w:name w:val="TOA Heading"/>
    <w:basedOn w:val="Ttulodondicealfabtico"/>
    <w:qFormat/>
    <w:pPr>
      <w:suppressLineNumbers/>
      <w:ind w:left="0" w:hanging="0"/>
    </w:pPr>
    <w:rPr>
      <w:b/>
      <w:bCs/>
      <w:sz w:val="32"/>
      <w:szCs w:val="32"/>
    </w:rPr>
  </w:style>
  <w:style w:type="paragraph" w:styleId="Recuodecorpodetexto21">
    <w:name w:val="Recuo de corpo de texto 21"/>
    <w:basedOn w:val="Normal"/>
    <w:qFormat/>
    <w:pPr>
      <w:ind w:left="0" w:right="0" w:firstLine="851"/>
      <w:jc w:val="both"/>
    </w:pPr>
    <w:rPr>
      <w:sz w:val="22"/>
    </w:rPr>
  </w:style>
  <w:style w:type="paragraph" w:styleId="Ttulodosumrio">
    <w:name w:val="TOA Heading"/>
    <w:basedOn w:val="Ttulodondicealfabtico"/>
    <w:pPr>
      <w:suppressLineNumbers/>
      <w:ind w:left="0" w:hanging="0"/>
    </w:pPr>
    <w:rPr>
      <w:b/>
      <w:bCs/>
      <w:sz w:val="32"/>
      <w:szCs w:val="32"/>
    </w:rPr>
  </w:style>
  <w:style w:type="numbering" w:styleId="NumeraoIVX">
    <w:name w:val="Numeração IVX"/>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image" Target="media/image2.pn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Normal.dotm</Template>
  <TotalTime>2611</TotalTime>
  <Application>LibreOffice/7.2.1.2$Windows_X86_64 LibreOffice_project/87b77fad49947c1441b67c559c339af8f3517e22</Application>
  <AppVersion>15.0000</AppVersion>
  <Pages>20</Pages>
  <Words>4332</Words>
  <Characters>24861</Characters>
  <CharactersWithSpaces>29124</CharactersWithSpaces>
  <Paragraphs>264</Paragraphs>
  <Company>PARANACIDADE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2024-03-05T13:38:00Z</dcterms:created>
  <dc:creator>thereza.pred</dc:creator>
  <dc:description/>
  <dc:language>pt-BR</dc:language>
  <cp:lastModifiedBy>Luciano Fernando da Rosa</cp:lastModifiedBy>
  <cp:lastPrinted>2024-08-29T16:00:56Z</cp:lastPrinted>
  <dcterms:modified xsi:type="dcterms:W3CDTF">2025-05-21T14:30:28Z</dcterms:modified>
  <cp:revision>170</cp:revision>
  <dc:subject/>
  <dc:title>AO DIRETOR DE OBRAS</dc:title>
</cp:coreProperties>
</file>

<file path=docProps/custom.xml><?xml version="1.0" encoding="utf-8"?>
<Properties xmlns="http://schemas.openxmlformats.org/officeDocument/2006/custom-properties" xmlns:vt="http://schemas.openxmlformats.org/officeDocument/2006/docPropsVTypes"/>
</file>